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April 14,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BodyTextIndent2"/>
        <w:widowControl/>
        <w:ind w:start="0" w:end="0"/>
        <w:rPr>
          <w:sz w:val="12"/>
          <w:szCs w:val="12"/>
        </w:rPr>
      </w:pPr>
      <w:r>
        <w:rPr>
          <w:sz w:val="12"/>
          <w:szCs w:val="12"/>
        </w:rPr>
      </w:r>
    </w:p>
    <w:p>
      <w:pPr>
        <w:pStyle w:val="Heading1"/>
        <w:ind w:hanging="0" w:start="0"/>
        <w:rPr>
          <w:b/>
          <w:bCs/>
          <w:sz w:val="20"/>
          <w:szCs w:val="20"/>
        </w:rPr>
      </w:pPr>
      <w:r>
        <w:rPr>
          <w:b/>
          <w:bCs/>
          <w:sz w:val="20"/>
          <w:szCs w:val="20"/>
        </w:rPr>
        <w:t>ANR Pipeline Company</w:t>
      </w:r>
    </w:p>
    <w:p>
      <w:pPr>
        <w:pStyle w:val="NormalIndent"/>
        <w:rPr>
          <w:sz w:val="20"/>
          <w:szCs w:val="20"/>
        </w:rPr>
      </w:pPr>
      <w:r>
        <w:rPr>
          <w:sz w:val="20"/>
          <w:szCs w:val="20"/>
        </w:rPr>
        <w:t>3/29/00 - FERC issued a Draft Order approving the settlement on FTS-3 and ITS-3 services (variable hourly flow service).</w:t>
      </w:r>
    </w:p>
    <w:p>
      <w:pPr>
        <w:pStyle w:val="NormalIndent"/>
        <w:rPr>
          <w:sz w:val="20"/>
          <w:szCs w:val="20"/>
        </w:rPr>
      </w:pPr>
      <w:r>
        <w:rPr>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3/29/00 - FERC accepted the changes to CIG’s HUB-1 service, to allow wheeling with compression services, with the rate being set at the currently effective interruptible transportation rates under Rate Schedule TI-1.</w:t>
      </w:r>
    </w:p>
    <w:p>
      <w:pPr>
        <w:pStyle w:val="Heading1"/>
        <w:ind w:hanging="0" w:start="0"/>
        <w:rPr>
          <w:b/>
          <w:bCs/>
          <w:sz w:val="20"/>
          <w:szCs w:val="20"/>
        </w:rPr>
      </w:pPr>
      <w:r>
        <w:rPr>
          <w:b/>
          <w:bCs/>
          <w:sz w:val="20"/>
          <w:szCs w:val="20"/>
        </w:rPr>
      </w:r>
    </w:p>
    <w:p>
      <w:pPr>
        <w:pStyle w:val="Heading1"/>
        <w:ind w:hanging="0" w:start="0"/>
        <w:rPr>
          <w:b/>
          <w:bCs/>
          <w:sz w:val="20"/>
          <w:szCs w:val="20"/>
        </w:rPr>
      </w:pPr>
      <w:r>
        <w:rPr>
          <w:b/>
          <w:bCs/>
          <w:sz w:val="20"/>
          <w:szCs w:val="20"/>
        </w:rPr>
        <w:t>CNG Transmission Company</w:t>
      </w:r>
    </w:p>
    <w:p>
      <w:pPr>
        <w:pStyle w:val="NormalIndent"/>
        <w:rPr>
          <w:sz w:val="20"/>
          <w:szCs w:val="20"/>
        </w:rPr>
      </w:pPr>
      <w:r>
        <w:rPr>
          <w:sz w:val="20"/>
          <w:szCs w:val="20"/>
        </w:rPr>
        <w:t>3/31/00 - FERC approved CNG’s DPO/CSC proposal except that it rejected the hourly flow restrictions due to lack of supporting evidence of a need for this, and reduced the $25 overrun penalty to $10.  This is an 18-month trial period and will be evaluated to suggest enhancements and revisions.</w:t>
      </w:r>
    </w:p>
    <w:p>
      <w:pPr>
        <w:pStyle w:val="NormalIndent"/>
        <w:rPr>
          <w:sz w:val="20"/>
          <w:szCs w:val="20"/>
        </w:rPr>
      </w:pPr>
      <w:r>
        <w:rPr>
          <w:sz w:val="20"/>
          <w:szCs w:val="20"/>
        </w:rPr>
      </w:r>
    </w:p>
    <w:p>
      <w:pPr>
        <w:pStyle w:val="Normal"/>
        <w:rPr>
          <w:b/>
          <w:bCs/>
          <w:sz w:val="20"/>
          <w:szCs w:val="20"/>
        </w:rPr>
      </w:pPr>
      <w:r>
        <w:rPr>
          <w:b/>
          <w:bCs/>
          <w:sz w:val="20"/>
          <w:szCs w:val="20"/>
        </w:rPr>
        <w:t>Destin Pipeline Company, LLC</w:t>
      </w:r>
    </w:p>
    <w:p>
      <w:pPr>
        <w:pStyle w:val="NormalIndent"/>
        <w:rPr>
          <w:sz w:val="20"/>
          <w:szCs w:val="20"/>
        </w:rPr>
      </w:pPr>
      <w:r>
        <w:rPr>
          <w:sz w:val="20"/>
          <w:szCs w:val="20"/>
        </w:rPr>
        <w:t>3/17/00 - FERC issued a severe rebuke of Destin’s cost overruns and suspended its blanket certificate authority for six months.  This means Destin may do no construction activities under its blanket certificate during this time.  No existing shippers will be affected.</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3/29/00 - FERC issued a Draft Order granting NWPL’s complaint against El Paso regarding confirmation procedures.  El Paso has to go back to 6/1/99 and use scheduled quantities based on GISB rules.  El Paso will end up with the imbalances instead of NWPL customers.</w:t>
      </w:r>
    </w:p>
    <w:p>
      <w:pPr>
        <w:pStyle w:val="Heading1"/>
        <w:ind w:hanging="0" w:start="0"/>
        <w:rPr>
          <w:b/>
          <w:bCs/>
          <w:sz w:val="20"/>
          <w:szCs w:val="20"/>
        </w:rPr>
      </w:pPr>
      <w:r>
        <w:rPr>
          <w:b/>
          <w:bCs/>
          <w:sz w:val="20"/>
          <w:szCs w:val="20"/>
        </w:rPr>
      </w:r>
    </w:p>
    <w:p>
      <w:pPr>
        <w:pStyle w:val="Heading1"/>
        <w:ind w:hanging="0" w:start="0"/>
        <w:rPr>
          <w:b/>
          <w:bCs/>
          <w:sz w:val="20"/>
          <w:szCs w:val="20"/>
        </w:rPr>
      </w:pPr>
      <w:r>
        <w:rPr>
          <w:b/>
          <w:bCs/>
          <w:sz w:val="20"/>
          <w:szCs w:val="20"/>
        </w:rPr>
        <w:t>Horizon Pipeline Company</w:t>
      </w:r>
    </w:p>
    <w:p>
      <w:pPr>
        <w:pStyle w:val="NormalIndent"/>
        <w:rPr>
          <w:sz w:val="20"/>
          <w:szCs w:val="20"/>
        </w:rPr>
      </w:pPr>
      <w:r>
        <w:rPr>
          <w:sz w:val="20"/>
          <w:szCs w:val="20"/>
        </w:rPr>
        <w:t>3/31/00 - Horizon is a LLC owned by NGPL and Nicor.  It filed for permission to construct the Horizon Project, which will consist of 71 miles of pipe—28.5 miles of new pipe and 42 miles of leased space on NGPL, a new compressor station, and new meter stations and mainline taps for a total capacity of 380,000/day.  It will be a new interstate pipeline company and will provide transportation service from near Joliet, IL to near McHenry, IL.  Nicor Gas (one of the Horizon affiliates) has signed a precedent agreement for 300,000/d of the space.</w:t>
      </w:r>
    </w:p>
    <w:p>
      <w:pPr>
        <w:pStyle w:val="NormalIndent"/>
        <w:rPr>
          <w:sz w:val="20"/>
          <w:szCs w:val="20"/>
        </w:rPr>
      </w:pPr>
      <w:r>
        <w:rPr>
          <w:sz w:val="20"/>
          <w:szCs w:val="20"/>
        </w:rPr>
      </w:r>
    </w:p>
    <w:p>
      <w:pPr>
        <w:pStyle w:val="Normal"/>
        <w:rPr>
          <w:b/>
          <w:bCs/>
          <w:sz w:val="20"/>
          <w:szCs w:val="20"/>
        </w:rPr>
      </w:pPr>
      <w:r>
        <w:rPr>
          <w:b/>
          <w:bCs/>
          <w:sz w:val="20"/>
          <w:szCs w:val="20"/>
        </w:rPr>
        <w:t>KN Interstate Gas Transmission Company</w:t>
      </w:r>
    </w:p>
    <w:p>
      <w:pPr>
        <w:pStyle w:val="NormalIndent"/>
        <w:rPr>
          <w:sz w:val="20"/>
          <w:szCs w:val="20"/>
        </w:rPr>
      </w:pPr>
      <w:r>
        <w:rPr>
          <w:sz w:val="20"/>
          <w:szCs w:val="20"/>
        </w:rPr>
        <w:t>3/24/00 - The Town of Neligh, Nebraska filed a complaint against KNI, to compel KNI to provide gas service to Neligh.  Neligh will acquire the LDC facilities of KNE through condemnation proceedings.  It requested firm and no notice service from KNI (KNE’s affiliate) and was rejected because KNI is fully subscribed.  Neligh wants its share of KNE’s allocated capacity assigned to it, or build facilities to enable service.</w:t>
      </w:r>
      <w:r>
        <w:br w:type="page"/>
      </w:r>
    </w:p>
    <w:p>
      <w:pPr>
        <w:pStyle w:val="NormalIndent"/>
        <w:rPr>
          <w:sz w:val="20"/>
          <w:szCs w:val="20"/>
        </w:rPr>
      </w:pPr>
      <w:r>
        <w:rPr>
          <w:sz w:val="20"/>
          <w:szCs w:val="20"/>
        </w:rPr>
      </w:r>
    </w:p>
    <w:p>
      <w:pPr>
        <w:pStyle w:val="Normal"/>
        <w:rPr>
          <w:b/>
          <w:bCs/>
          <w:sz w:val="20"/>
          <w:szCs w:val="20"/>
        </w:rPr>
      </w:pPr>
      <w:r>
        <w:rPr>
          <w:b/>
          <w:bCs/>
          <w:sz w:val="20"/>
          <w:szCs w:val="20"/>
        </w:rPr>
        <w:t>National Fuel Gas Supply</w:t>
      </w:r>
    </w:p>
    <w:p>
      <w:pPr>
        <w:pStyle w:val="NormalIndent"/>
        <w:rPr>
          <w:sz w:val="20"/>
          <w:szCs w:val="20"/>
        </w:rPr>
      </w:pPr>
      <w:r>
        <w:rPr>
          <w:sz w:val="20"/>
          <w:szCs w:val="20"/>
        </w:rPr>
        <w:t xml:space="preserve">3/20/00 - Nfuel filed notice of negotiated one year storage service agreements effective 4/1/00 with TXU Energy Trading.  These are margin sharing arrangements where TXU pays some base fees plus a negotiated share of the physical and financial margins associated with the storage.  The total volume under the agreement is 3.5 Bcf, with a MDIQ of 19,527 and MDWQ of 37,000. </w:t>
      </w:r>
    </w:p>
    <w:p>
      <w:pPr>
        <w:pStyle w:val="Normal"/>
        <w:rPr>
          <w:sz w:val="20"/>
          <w:szCs w:val="20"/>
        </w:rPr>
      </w:pPr>
      <w:r>
        <w:rPr>
          <w:sz w:val="20"/>
          <w:szCs w:val="20"/>
        </w:rPr>
      </w:r>
    </w:p>
    <w:p>
      <w:pPr>
        <w:pStyle w:val="Heading1"/>
        <w:ind w:hanging="0" w:start="0"/>
        <w:rPr>
          <w:sz w:val="20"/>
          <w:szCs w:val="20"/>
        </w:rPr>
      </w:pPr>
      <w:r>
        <w:rPr>
          <w:b/>
          <w:bCs/>
          <w:sz w:val="20"/>
          <w:szCs w:val="20"/>
        </w:rPr>
        <w:t>Natural Gas Pipeline Company</w:t>
      </w:r>
    </w:p>
    <w:p>
      <w:pPr>
        <w:pStyle w:val="NormalIndent"/>
        <w:rPr>
          <w:sz w:val="20"/>
          <w:szCs w:val="20"/>
        </w:rPr>
      </w:pPr>
      <w:r>
        <w:rPr>
          <w:sz w:val="20"/>
          <w:szCs w:val="20"/>
        </w:rPr>
        <w:t>3/31/00 - NGPL’s proposal on the following three issues is suspended until 9/1/00, and a technical conference will be held.  The issues are:  to allow inclusive rates option in FTS and DSS, to allow adjustments to rate components in a discounted agreement without having to file each deal separately with FERC, and to clarify that its PALS balancing charge will be effective during all times, not just during OFO periods.</w:t>
      </w:r>
    </w:p>
    <w:p>
      <w:pPr>
        <w:pStyle w:val="NormalIndent"/>
        <w:rPr>
          <w:sz w:val="20"/>
          <w:szCs w:val="20"/>
        </w:rPr>
      </w:pPr>
      <w:r>
        <w:rPr>
          <w:sz w:val="20"/>
          <w:szCs w:val="20"/>
        </w:rPr>
      </w:r>
    </w:p>
    <w:p>
      <w:pPr>
        <w:pStyle w:val="NormalIndent"/>
        <w:rPr>
          <w:sz w:val="20"/>
          <w:szCs w:val="20"/>
        </w:rPr>
      </w:pPr>
      <w:r>
        <w:rPr>
          <w:sz w:val="20"/>
          <w:szCs w:val="20"/>
        </w:rPr>
        <w:t>3/31/00 - NGPL filed for abandonment for the space it has leased to Horizon for the new construction described above.</w:t>
      </w:r>
    </w:p>
    <w:p>
      <w:pPr>
        <w:pStyle w:val="NormalIndent"/>
        <w:rPr>
          <w:sz w:val="20"/>
          <w:szCs w:val="20"/>
        </w:rPr>
      </w:pPr>
      <w:r>
        <w:rPr>
          <w:sz w:val="20"/>
          <w:szCs w:val="20"/>
        </w:rPr>
      </w:r>
    </w:p>
    <w:p>
      <w:pPr>
        <w:pStyle w:val="NormalIndent"/>
        <w:rPr>
          <w:sz w:val="20"/>
          <w:szCs w:val="20"/>
        </w:rPr>
      </w:pPr>
      <w:r>
        <w:rPr>
          <w:sz w:val="20"/>
          <w:szCs w:val="20"/>
        </w:rPr>
        <w:t>4/4/00 - FERC approved abandonment of NGPL’s South Texas Lateral facilities to MidCon Texas.</w:t>
      </w:r>
    </w:p>
    <w:p>
      <w:pPr>
        <w:pStyle w:val="Heading1"/>
        <w:ind w:hanging="0" w:start="0"/>
        <w:rPr>
          <w:b/>
          <w:bCs/>
          <w:sz w:val="20"/>
          <w:szCs w:val="20"/>
        </w:rPr>
      </w:pPr>
      <w:r>
        <w:rPr>
          <w:b/>
          <w:bCs/>
          <w:sz w:val="20"/>
          <w:szCs w:val="20"/>
        </w:rPr>
      </w:r>
    </w:p>
    <w:p>
      <w:pPr>
        <w:pStyle w:val="Heading1"/>
        <w:ind w:hanging="0" w:start="0"/>
        <w:rPr>
          <w:b/>
          <w:bCs/>
          <w:sz w:val="20"/>
          <w:szCs w:val="20"/>
        </w:rPr>
      </w:pPr>
      <w:r>
        <w:rPr>
          <w:b/>
          <w:bCs/>
          <w:sz w:val="20"/>
          <w:szCs w:val="20"/>
        </w:rPr>
        <w:t>Northern Border Pipeline Company</w:t>
      </w:r>
    </w:p>
    <w:p>
      <w:pPr>
        <w:pStyle w:val="NormalIndent"/>
        <w:rPr>
          <w:sz w:val="20"/>
          <w:szCs w:val="20"/>
        </w:rPr>
      </w:pPr>
      <w:r>
        <w:rPr>
          <w:sz w:val="20"/>
          <w:szCs w:val="20"/>
        </w:rPr>
        <w:t>3/15/00 – Northern Border filed new tariff sheets removing the Flowing Gas Priority provision from its IT-1 rate schedule, because it conflicts with the GISB timeline.</w:t>
      </w:r>
    </w:p>
    <w:p>
      <w:pPr>
        <w:pStyle w:val="NormalIndent"/>
        <w:rPr>
          <w:sz w:val="20"/>
          <w:szCs w:val="20"/>
        </w:rPr>
      </w:pPr>
      <w:r>
        <w:rPr>
          <w:sz w:val="20"/>
          <w:szCs w:val="20"/>
        </w:rPr>
      </w:r>
    </w:p>
    <w:p>
      <w:pPr>
        <w:pStyle w:val="NormalIndent"/>
        <w:rPr>
          <w:sz w:val="20"/>
          <w:szCs w:val="20"/>
        </w:rPr>
      </w:pPr>
      <w:r>
        <w:rPr>
          <w:sz w:val="20"/>
          <w:szCs w:val="20"/>
        </w:rPr>
        <w:t>3/3/00 – CNG filed for a fuel decrease (from 1.31% to 1.01% for Lost and Unaccounted For) effective 4/1/00.</w:t>
      </w:r>
    </w:p>
    <w:p>
      <w:pPr>
        <w:pStyle w:val="NormalIndent"/>
        <w:rPr>
          <w:sz w:val="20"/>
          <w:szCs w:val="20"/>
        </w:rPr>
      </w:pPr>
      <w:r>
        <w:rPr>
          <w:sz w:val="20"/>
          <w:szCs w:val="20"/>
        </w:rPr>
      </w:r>
    </w:p>
    <w:p>
      <w:pPr>
        <w:pStyle w:val="Normal"/>
        <w:rPr>
          <w:b/>
          <w:bCs/>
          <w:sz w:val="20"/>
          <w:szCs w:val="20"/>
        </w:rPr>
      </w:pPr>
      <w:r>
        <w:rPr>
          <w:b/>
          <w:bCs/>
          <w:sz w:val="20"/>
          <w:szCs w:val="20"/>
        </w:rPr>
        <w:t>Petal Gas Storage, LLC</w:t>
      </w:r>
    </w:p>
    <w:p>
      <w:pPr>
        <w:pStyle w:val="NormalIndent"/>
        <w:rPr>
          <w:sz w:val="20"/>
          <w:szCs w:val="20"/>
        </w:rPr>
      </w:pPr>
      <w:r>
        <w:rPr>
          <w:sz w:val="20"/>
          <w:szCs w:val="20"/>
        </w:rPr>
        <w:t>4/4/00 - FERC is questioning why Petal’s application should not be dismissed since Southern Company (the main supporter of the project) intervened when Petal decided to use Tennessee only instead of tying in to Southern Natural, Destin, and Transco.</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3/31/00 - PGT’s proposal to change its interruptible capacity allocation procedure from a queue process to an economic basis is suspended for five months and PGT has to file additional information.</w:t>
      </w:r>
    </w:p>
    <w:p>
      <w:pPr>
        <w:pStyle w:val="NormalIndent"/>
        <w:rPr>
          <w:sz w:val="20"/>
          <w:szCs w:val="20"/>
        </w:rPr>
      </w:pPr>
      <w:r>
        <w:rPr>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3/22/00 - FERC approved Questar’s request to install a new compressor at its Fidlar station, providing approximately 55,000/d of new firm service.</w:t>
      </w:r>
    </w:p>
    <w:p>
      <w:pPr>
        <w:pStyle w:val="NormalIndent"/>
        <w:rPr>
          <w:sz w:val="20"/>
          <w:szCs w:val="20"/>
        </w:rPr>
      </w:pPr>
      <w:r>
        <w:rPr>
          <w:sz w:val="20"/>
          <w:szCs w:val="20"/>
        </w:rPr>
      </w:r>
    </w:p>
    <w:p>
      <w:pPr>
        <w:pStyle w:val="Normal"/>
        <w:rPr>
          <w:b/>
          <w:bCs/>
          <w:sz w:val="20"/>
          <w:szCs w:val="20"/>
        </w:rPr>
      </w:pPr>
      <w:r>
        <w:rPr>
          <w:b/>
          <w:bCs/>
          <w:sz w:val="20"/>
          <w:szCs w:val="20"/>
        </w:rPr>
        <w:t>Texas Gas Transmission Corporation</w:t>
      </w:r>
    </w:p>
    <w:p>
      <w:pPr>
        <w:pStyle w:val="NormalIndent"/>
        <w:rPr>
          <w:sz w:val="20"/>
          <w:szCs w:val="20"/>
        </w:rPr>
      </w:pPr>
      <w:r>
        <w:rPr>
          <w:sz w:val="20"/>
          <w:szCs w:val="20"/>
        </w:rPr>
        <w:t>3/22/00 - TGT filed new tariff sheets showing the minor changes TGT agreed to in its SNS service (Summer No Notice Service).</w:t>
      </w:r>
    </w:p>
    <w:p>
      <w:pPr>
        <w:pStyle w:val="NormalIndent"/>
        <w:rPr>
          <w:sz w:val="20"/>
          <w:szCs w:val="20"/>
        </w:rPr>
      </w:pPr>
      <w:r>
        <w:rPr>
          <w:sz w:val="20"/>
          <w:szCs w:val="20"/>
        </w:rPr>
      </w:r>
    </w:p>
    <w:p>
      <w:pPr>
        <w:pStyle w:val="Normal"/>
        <w:rPr>
          <w:b/>
          <w:bCs/>
          <w:sz w:val="20"/>
          <w:szCs w:val="20"/>
        </w:rPr>
      </w:pPr>
      <w:r>
        <w:rPr>
          <w:b/>
          <w:bCs/>
          <w:sz w:val="20"/>
          <w:szCs w:val="20"/>
        </w:rPr>
        <w:t>Transcontinental Gas Pipeline Corporation</w:t>
      </w:r>
    </w:p>
    <w:p>
      <w:pPr>
        <w:pStyle w:val="NormalIndent"/>
        <w:rPr>
          <w:sz w:val="20"/>
          <w:szCs w:val="20"/>
        </w:rPr>
      </w:pPr>
      <w:r>
        <w:rPr>
          <w:sz w:val="20"/>
          <w:szCs w:val="20"/>
        </w:rPr>
        <w:t>3/31/00 - Draft Order rejecting Transco’s more stringent cash-out provisions.  Transco must go back to its tariff provisions that were effective before 11/26/99.</w:t>
      </w:r>
    </w:p>
    <w:p>
      <w:pPr>
        <w:pStyle w:val="NormalIndent"/>
        <w:rPr>
          <w:sz w:val="20"/>
          <w:szCs w:val="20"/>
        </w:rPr>
      </w:pPr>
      <w:r>
        <w:rPr>
          <w:sz w:val="20"/>
          <w:szCs w:val="20"/>
        </w:rPr>
      </w:r>
    </w:p>
    <w:p>
      <w:pPr>
        <w:pStyle w:val="NormalIndent"/>
        <w:rPr>
          <w:sz w:val="20"/>
          <w:szCs w:val="20"/>
        </w:rPr>
      </w:pPr>
      <w:r>
        <w:rPr>
          <w:sz w:val="20"/>
          <w:szCs w:val="20"/>
        </w:rPr>
        <w:t>3/31/00 - Transco’s new fuel percentages are approved effective 4/1/00, subject to refund and a technical conference.</w:t>
      </w:r>
    </w:p>
    <w:p>
      <w:pPr>
        <w:pStyle w:val="Normal"/>
        <w:rPr>
          <w:sz w:val="20"/>
          <w:szCs w:val="20"/>
        </w:rPr>
      </w:pPr>
      <w:r>
        <w:rPr>
          <w:sz w:val="20"/>
          <w:szCs w:val="20"/>
        </w:rPr>
      </w:r>
    </w:p>
    <w:p>
      <w:pPr>
        <w:pStyle w:val="Header"/>
        <w:rPr>
          <w:b/>
          <w:bCs/>
          <w:sz w:val="20"/>
          <w:szCs w:val="20"/>
        </w:rPr>
      </w:pPr>
      <w:r>
        <w:rPr>
          <w:b/>
          <w:bCs/>
          <w:sz w:val="20"/>
          <w:szCs w:val="20"/>
        </w:rPr>
        <w:t>Viking Gas Transmission Company</w:t>
      </w:r>
    </w:p>
    <w:p>
      <w:pPr>
        <w:pStyle w:val="NormalIndent"/>
        <w:rPr>
          <w:sz w:val="20"/>
          <w:szCs w:val="20"/>
        </w:rPr>
      </w:pPr>
      <w:r>
        <w:rPr>
          <w:sz w:val="20"/>
          <w:szCs w:val="20"/>
        </w:rPr>
        <w:t>2/29/00 – Viking has filed for a significant increase in its LMS Daily Overrun Rate.  Viking is asking FERC to allow it to defer all of the adjustment except the carrying costs.</w:t>
      </w:r>
    </w:p>
    <w:p>
      <w:pPr>
        <w:pStyle w:val="NormalIndent"/>
        <w:rPr>
          <w:sz w:val="20"/>
          <w:szCs w:val="20"/>
        </w:rPr>
      </w:pPr>
      <w:r>
        <w:rPr>
          <w:sz w:val="20"/>
          <w:szCs w:val="20"/>
        </w:rPr>
      </w:r>
    </w:p>
    <w:p>
      <w:pPr>
        <w:pStyle w:val="NormalIndent"/>
        <w:rPr>
          <w:sz w:val="20"/>
          <w:szCs w:val="20"/>
        </w:rPr>
      </w:pPr>
      <w:r>
        <w:rPr>
          <w:sz w:val="20"/>
          <w:szCs w:val="20"/>
        </w:rPr>
        <w:t>3/23/00 - FERC approved new fuel rates (decreases) effective 4/1/00.</w:t>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2000-04-18T13:37:00Z</dcterms:created>
  <dc:creator>ECT</dc:creator>
  <dc:description/>
  <dc:language>en-CA</dc:language>
  <cp:lastModifiedBy>ECT</cp:lastModifiedBy>
  <cp:lastPrinted>2000-04-28T10:44:00Z</cp:lastPrinted>
  <dcterms:modified xsi:type="dcterms:W3CDTF">2000-04-28T13:17:00Z</dcterms:modified>
  <cp:revision>5</cp:revision>
  <dc:subject>Regulatory Filing Summary</dc:subject>
  <dc:title>Eron Capital &amp; Trade Resources Memo</dc:title>
</cp:coreProperties>
</file>