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Theresa Branney, Sandra Brawner, Maria Garza, Chris</w:t>
            </w:r>
          </w:p>
          <w:p>
            <w:pPr>
              <w:pStyle w:val="To"/>
              <w:widowControl/>
              <w:ind w:end="-643"/>
              <w:rPr/>
            </w:pPr>
            <w:r>
              <w:rPr/>
              <w:t>Germany, Dick Jenkins, Dan Junek, Tom Martin, Greg McClendon,</w:t>
            </w:r>
          </w:p>
          <w:p>
            <w:pPr>
              <w:pStyle w:val="To"/>
              <w:widowControl/>
              <w:ind w:end="-643"/>
              <w:rPr/>
            </w:pPr>
            <w:r>
              <w:rPr/>
              <w:t>Brad McKay, Scott Neal, Kim Olinger, Jeff Shankman, Hunter Shively,</w:t>
            </w:r>
          </w:p>
          <w:p>
            <w:pPr>
              <w:pStyle w:val="To"/>
              <w:widowControl/>
              <w:ind w:end="-643"/>
              <w:rPr/>
            </w:pPr>
            <w:r>
              <w:rPr/>
              <w:t>Fletch Sturm, Judy Townsend, Elsa Villareal</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March 3,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BodyTextIndent2"/>
        <w:widowControl/>
        <w:ind w:start="0" w:end="0"/>
        <w:rPr>
          <w:sz w:val="12"/>
          <w:szCs w:val="12"/>
        </w:rPr>
      </w:pPr>
      <w:r>
        <w:rPr>
          <w:sz w:val="12"/>
          <w:szCs w:val="12"/>
        </w:rPr>
      </w:r>
    </w:p>
    <w:p>
      <w:pPr>
        <w:pStyle w:val="BodyTextIndent2"/>
        <w:widowControl/>
        <w:ind w:start="0" w:end="0"/>
        <w:rPr>
          <w:sz w:val="12"/>
          <w:szCs w:val="12"/>
        </w:rPr>
      </w:pPr>
      <w:r>
        <w:rPr>
          <w:sz w:val="12"/>
          <w:szCs w:val="12"/>
        </w:rPr>
      </w:r>
    </w:p>
    <w:p>
      <w:pPr>
        <w:pStyle w:val="Normal"/>
        <w:rPr>
          <w:b/>
          <w:bCs/>
          <w:sz w:val="20"/>
          <w:szCs w:val="20"/>
        </w:rPr>
      </w:pPr>
      <w:r>
        <w:rPr>
          <w:b/>
          <w:bCs/>
          <w:sz w:val="20"/>
          <w:szCs w:val="20"/>
        </w:rPr>
        <w:t>ANR Pipeline Company</w:t>
      </w:r>
    </w:p>
    <w:p>
      <w:pPr>
        <w:pStyle w:val="NormalIndent"/>
        <w:rPr>
          <w:sz w:val="20"/>
          <w:szCs w:val="20"/>
        </w:rPr>
      </w:pPr>
      <w:r>
        <w:rPr>
          <w:sz w:val="20"/>
          <w:szCs w:val="20"/>
        </w:rPr>
        <w:t>2/20/00 - FERC approved ANR’s Wisconsin Expansion Project, Phase I (109,000/d).  No roll in of rates will occur unless circumstances change substantially.  ANR must file executed contracts before starting construction.  Also, Phase II of the project is deferred until further progress is made at FERC on Independence’s SupplyLink project.</w:t>
      </w:r>
    </w:p>
    <w:p>
      <w:pPr>
        <w:pStyle w:val="NormalIndent"/>
        <w:rPr>
          <w:sz w:val="20"/>
          <w:szCs w:val="20"/>
        </w:rPr>
      </w:pPr>
      <w:r>
        <w:rPr>
          <w:sz w:val="20"/>
          <w:szCs w:val="20"/>
        </w:rPr>
      </w:r>
    </w:p>
    <w:p>
      <w:pPr>
        <w:pStyle w:val="NormalIndent"/>
        <w:rPr>
          <w:sz w:val="20"/>
          <w:szCs w:val="20"/>
        </w:rPr>
      </w:pPr>
      <w:r>
        <w:rPr>
          <w:sz w:val="20"/>
          <w:szCs w:val="20"/>
        </w:rPr>
        <w:t>2/23/00 - ANR’s proposed new Parking and Lending Service point, the Weakley County Interconnect near Gleason, TN, was approved and is eligible for service effective 3/1/00.</w:t>
      </w:r>
    </w:p>
    <w:p>
      <w:pPr>
        <w:pStyle w:val="Normal"/>
        <w:rPr>
          <w:b/>
          <w:bCs/>
          <w:sz w:val="20"/>
          <w:szCs w:val="20"/>
        </w:rPr>
      </w:pPr>
      <w:r>
        <w:rPr>
          <w:b/>
          <w:bCs/>
          <w:sz w:val="20"/>
          <w:szCs w:val="20"/>
        </w:rPr>
      </w:r>
    </w:p>
    <w:p>
      <w:pPr>
        <w:pStyle w:val="Normal"/>
        <w:rPr>
          <w:b/>
          <w:bCs/>
          <w:sz w:val="20"/>
          <w:szCs w:val="20"/>
        </w:rPr>
      </w:pPr>
      <w:r>
        <w:rPr>
          <w:b/>
          <w:bCs/>
          <w:sz w:val="20"/>
          <w:szCs w:val="20"/>
        </w:rPr>
        <w:t>CNG Transmission Corporation</w:t>
      </w:r>
    </w:p>
    <w:p>
      <w:pPr>
        <w:pStyle w:val="NormalIndent"/>
        <w:rPr>
          <w:sz w:val="20"/>
          <w:szCs w:val="20"/>
        </w:rPr>
      </w:pPr>
      <w:r>
        <w:rPr>
          <w:sz w:val="20"/>
          <w:szCs w:val="20"/>
        </w:rPr>
        <w:t>2/10/00 - CNG’s TTT service fee of $.8433 per transaction was approved effective 2/1/00.</w:t>
      </w:r>
    </w:p>
    <w:p>
      <w:pPr>
        <w:pStyle w:val="Normal"/>
        <w:rPr>
          <w:b/>
          <w:bCs/>
          <w:sz w:val="20"/>
          <w:szCs w:val="20"/>
        </w:rPr>
      </w:pPr>
      <w:r>
        <w:rPr>
          <w:b/>
          <w:bCs/>
          <w:sz w:val="20"/>
          <w:szCs w:val="20"/>
        </w:rPr>
      </w:r>
    </w:p>
    <w:p>
      <w:pPr>
        <w:pStyle w:val="Normal"/>
        <w:rPr>
          <w:b/>
          <w:bCs/>
          <w:sz w:val="20"/>
          <w:szCs w:val="20"/>
        </w:rPr>
      </w:pPr>
      <w:r>
        <w:rPr>
          <w:b/>
          <w:bCs/>
          <w:sz w:val="20"/>
          <w:szCs w:val="20"/>
        </w:rPr>
        <w:t>Distrigas</w:t>
      </w:r>
    </w:p>
    <w:p>
      <w:pPr>
        <w:pStyle w:val="NormalIndent"/>
        <w:rPr>
          <w:sz w:val="20"/>
          <w:szCs w:val="20"/>
        </w:rPr>
      </w:pPr>
      <w:r>
        <w:rPr>
          <w:sz w:val="20"/>
          <w:szCs w:val="20"/>
        </w:rPr>
        <w:t>2/10/00 - FERC gave emergency authorization to Distrigas to install air injection equipment, to allow it to modify the Btu content of LNG prior to delivery of a pipeline.  Distrigas requested this due to a shortage in LNG requiring it to arrange for a cargo of high Btu content LNG to arrive on 2/6/00 and 2/8/00.</w:t>
      </w:r>
    </w:p>
    <w:p>
      <w:pPr>
        <w:pStyle w:val="Normal"/>
        <w:rPr>
          <w:b/>
          <w:bCs/>
          <w:sz w:val="20"/>
          <w:szCs w:val="20"/>
        </w:rPr>
      </w:pPr>
      <w:r>
        <w:rPr>
          <w:b/>
          <w:bCs/>
          <w:sz w:val="20"/>
          <w:szCs w:val="20"/>
        </w:rPr>
      </w:r>
    </w:p>
    <w:p>
      <w:pPr>
        <w:pStyle w:val="Normal"/>
        <w:rPr>
          <w:b/>
          <w:bCs/>
          <w:sz w:val="20"/>
          <w:szCs w:val="20"/>
        </w:rPr>
      </w:pPr>
      <w:r>
        <w:rPr>
          <w:b/>
          <w:bCs/>
          <w:sz w:val="20"/>
          <w:szCs w:val="20"/>
        </w:rPr>
        <w:t>Florida Gas Transmission Company</w:t>
      </w:r>
    </w:p>
    <w:p>
      <w:pPr>
        <w:pStyle w:val="NormalIndent"/>
        <w:rPr>
          <w:sz w:val="20"/>
          <w:szCs w:val="20"/>
        </w:rPr>
      </w:pPr>
      <w:r>
        <w:rPr>
          <w:sz w:val="20"/>
          <w:szCs w:val="20"/>
        </w:rPr>
        <w:t>2/11/00 - FERC issued its Notice of Intent to Prepare an Environmental Impact Statement for the proposed Phase V Expansion Project.</w:t>
      </w:r>
    </w:p>
    <w:p>
      <w:pPr>
        <w:pStyle w:val="Normal"/>
        <w:rPr>
          <w:b/>
          <w:bCs/>
          <w:sz w:val="20"/>
          <w:szCs w:val="20"/>
        </w:rPr>
      </w:pPr>
      <w:r>
        <w:rPr>
          <w:b/>
          <w:bCs/>
          <w:sz w:val="20"/>
          <w:szCs w:val="20"/>
        </w:rPr>
      </w:r>
    </w:p>
    <w:p>
      <w:pPr>
        <w:pStyle w:val="Normal"/>
        <w:rPr>
          <w:b/>
          <w:bCs/>
          <w:sz w:val="20"/>
          <w:szCs w:val="20"/>
        </w:rPr>
      </w:pPr>
      <w:r>
        <w:rPr>
          <w:b/>
          <w:bCs/>
          <w:sz w:val="20"/>
          <w:szCs w:val="20"/>
        </w:rPr>
        <w:t>Iroquois Gas Transmission System, LP</w:t>
      </w:r>
    </w:p>
    <w:p>
      <w:pPr>
        <w:pStyle w:val="NormalIndent"/>
        <w:rPr>
          <w:sz w:val="20"/>
          <w:szCs w:val="20"/>
        </w:rPr>
      </w:pPr>
      <w:r>
        <w:rPr>
          <w:sz w:val="20"/>
          <w:szCs w:val="20"/>
        </w:rPr>
        <w:t>2/10/00 - FERC issued its approval of the settlement on Legal Defense Costs.  Iroquois must file revised tariff sheets within 15 days (2/25/00).  Zone 2 rates will be reduced on 1/1/01, 1/1/02 and 1/1/03.</w:t>
      </w:r>
    </w:p>
    <w:p>
      <w:pPr>
        <w:pStyle w:val="Normal"/>
        <w:rPr>
          <w:b/>
          <w:bCs/>
          <w:sz w:val="20"/>
          <w:szCs w:val="20"/>
        </w:rPr>
      </w:pPr>
      <w:r>
        <w:rPr>
          <w:b/>
          <w:bCs/>
          <w:sz w:val="20"/>
          <w:szCs w:val="20"/>
        </w:rPr>
      </w:r>
    </w:p>
    <w:p>
      <w:pPr>
        <w:pStyle w:val="Normal"/>
        <w:rPr>
          <w:sz w:val="20"/>
          <w:szCs w:val="20"/>
        </w:rPr>
      </w:pPr>
      <w:r>
        <w:rPr>
          <w:b/>
          <w:bCs/>
          <w:sz w:val="20"/>
          <w:szCs w:val="20"/>
        </w:rPr>
        <w:t>Kern River Gas Transmission Company</w:t>
      </w:r>
    </w:p>
    <w:p>
      <w:pPr>
        <w:pStyle w:val="NormalIndent"/>
        <w:rPr>
          <w:sz w:val="20"/>
          <w:szCs w:val="20"/>
        </w:rPr>
      </w:pPr>
      <w:r>
        <w:rPr>
          <w:sz w:val="20"/>
          <w:szCs w:val="20"/>
        </w:rPr>
        <w:t>2/10/00 - Kern’s prposed procedures for netting and trading imbalances were accepted by FERC effective 2/13/00, subject to the clarification by Kern of what transportation rate they may charge on the netting.</w:t>
      </w:r>
    </w:p>
    <w:p>
      <w:pPr>
        <w:pStyle w:val="NormalIndent"/>
        <w:rPr>
          <w:sz w:val="20"/>
          <w:szCs w:val="20"/>
        </w:rPr>
      </w:pPr>
      <w:r>
        <w:rPr>
          <w:sz w:val="20"/>
          <w:szCs w:val="20"/>
        </w:rPr>
      </w:r>
    </w:p>
    <w:p>
      <w:pPr>
        <w:pStyle w:val="NormalIndent"/>
        <w:rPr>
          <w:sz w:val="20"/>
          <w:szCs w:val="20"/>
        </w:rPr>
      </w:pPr>
      <w:r>
        <w:rPr>
          <w:sz w:val="20"/>
          <w:szCs w:val="20"/>
        </w:rPr>
        <w:t>2/14/00 - Kern filed FERC ordered changes to its negotiated rate tariff language.  They propose to evaluate index based bids during capacity bid process using an assumed index price at the time of bid, based on historical pricing and projections for future.  They also changed tariff to state that ACA and GRI surcharges, as well as fuel, will be applied to shippers paying negotiated rates the same way they are applied to shippers paying recourse rates.</w:t>
      </w:r>
      <w:r>
        <w:br w:type="page"/>
      </w:r>
    </w:p>
    <w:p>
      <w:pPr>
        <w:pStyle w:val="NormalIndent"/>
        <w:rPr/>
      </w:pPr>
      <w:r>
        <w:rPr/>
      </w:r>
    </w:p>
    <w:p>
      <w:pPr>
        <w:pStyle w:val="Normal"/>
        <w:rPr>
          <w:b/>
          <w:bCs/>
          <w:sz w:val="20"/>
          <w:szCs w:val="20"/>
        </w:rPr>
      </w:pPr>
      <w:r>
        <w:rPr>
          <w:b/>
          <w:bCs/>
          <w:sz w:val="20"/>
          <w:szCs w:val="20"/>
        </w:rPr>
        <w:t>Natural Gas Pipeline Company of America</w:t>
      </w:r>
    </w:p>
    <w:p>
      <w:pPr>
        <w:pStyle w:val="NormalIndent"/>
        <w:rPr>
          <w:sz w:val="20"/>
          <w:szCs w:val="20"/>
        </w:rPr>
      </w:pPr>
      <w:r>
        <w:rPr>
          <w:sz w:val="20"/>
          <w:szCs w:val="20"/>
        </w:rPr>
        <w:t>2/20/00 - FERC approved NGPL’s Rate Schedule FRSS (Firm Reverse Storage Service), but only allowed 100,000/d of the service to be sold, subject to further review.  A technical conference will be held to answer issues raised by protesters and FERC staff.  The service may go into effect 3/1/00, but is subject to refund.</w:t>
      </w:r>
    </w:p>
    <w:p>
      <w:pPr>
        <w:pStyle w:val="NormalIndent"/>
        <w:rPr/>
      </w:pPr>
      <w:r>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2/10/00 - FERC issued its order on imbalance treatment at termination of IDD service.  It is suspended for five months, and NNG must file additional information and revisions to allow a grace period for corrections.</w:t>
      </w:r>
    </w:p>
    <w:p>
      <w:pPr>
        <w:pStyle w:val="NormalIndent"/>
        <w:rPr>
          <w:sz w:val="20"/>
          <w:szCs w:val="20"/>
        </w:rPr>
      </w:pPr>
      <w:r>
        <w:rPr>
          <w:sz w:val="20"/>
          <w:szCs w:val="20"/>
        </w:rPr>
      </w:r>
    </w:p>
    <w:p>
      <w:pPr>
        <w:pStyle w:val="NormalIndent"/>
        <w:rPr>
          <w:sz w:val="20"/>
          <w:szCs w:val="20"/>
        </w:rPr>
      </w:pPr>
      <w:r>
        <w:rPr>
          <w:sz w:val="20"/>
          <w:szCs w:val="20"/>
        </w:rPr>
        <w:t>2/24/00 - NNG filed clarification of its deal with ENA pursuant to complaints made by GPM, and FERC subsequently approved the deal.</w:t>
      </w:r>
    </w:p>
    <w:p>
      <w:pPr>
        <w:pStyle w:val="NormalIndent"/>
        <w:rPr/>
      </w:pPr>
      <w:r>
        <w:rPr/>
      </w:r>
    </w:p>
    <w:p>
      <w:pPr>
        <w:pStyle w:val="Normal"/>
        <w:rPr>
          <w:b/>
          <w:bCs/>
          <w:sz w:val="20"/>
          <w:szCs w:val="20"/>
        </w:rPr>
      </w:pPr>
      <w:r>
        <w:rPr>
          <w:b/>
          <w:bCs/>
          <w:sz w:val="20"/>
          <w:szCs w:val="20"/>
        </w:rPr>
        <w:t>TransColorado Gas Transmission</w:t>
      </w:r>
    </w:p>
    <w:p>
      <w:pPr>
        <w:pStyle w:val="NormalIndent"/>
        <w:rPr>
          <w:sz w:val="20"/>
          <w:szCs w:val="20"/>
        </w:rPr>
      </w:pPr>
      <w:r>
        <w:rPr>
          <w:sz w:val="20"/>
          <w:szCs w:val="20"/>
        </w:rPr>
        <w:t>2/1/00 - TC filed notice of a negotiated rate agreement with CIG Resources, effective 2/1/00 through 12/31/07 for a volume of 25,000/d for service from the CIG interconnect to El Paso and Transwestern at Blanco.  The rate is a minimum $.07 demand rate, with some formula based adjustments depending on CIG/EPNG &amp; TW spreads, and a usage charge of $.00243 plus ACA and fuel.</w:t>
      </w:r>
    </w:p>
    <w:p>
      <w:pPr>
        <w:pStyle w:val="NormalIndent"/>
        <w:rPr/>
      </w:pPr>
      <w:r>
        <w:rPr/>
      </w:r>
    </w:p>
    <w:p>
      <w:pPr>
        <w:pStyle w:val="Normal"/>
        <w:rPr>
          <w:b/>
          <w:bCs/>
          <w:sz w:val="20"/>
          <w:szCs w:val="20"/>
        </w:rPr>
      </w:pPr>
      <w:r>
        <w:rPr>
          <w:b/>
          <w:bCs/>
          <w:sz w:val="20"/>
          <w:szCs w:val="20"/>
        </w:rPr>
        <w:t>Transcontinental Gas Pipe Line Corporation</w:t>
      </w:r>
    </w:p>
    <w:p>
      <w:pPr>
        <w:pStyle w:val="NormalIndent"/>
        <w:rPr>
          <w:sz w:val="20"/>
          <w:szCs w:val="20"/>
        </w:rPr>
      </w:pPr>
      <w:r>
        <w:rPr>
          <w:sz w:val="20"/>
          <w:szCs w:val="20"/>
        </w:rPr>
        <w:t xml:space="preserve">2/20/00 - FERC issued an order regarding Transco’s Fuel Retention Percentage calculations that went into effect 4/1/99.  FERC ordered Transco to recalculate this and issue refunds to customers (with interest) between the value of the gas it retained and the value of the gas under the recalculated percentages.  FERC was quite upset with Transco over inadequate accounting and control systems that caused them to file for the revised fuel to recoup the losses, and is now disallowing the adjustments made because of this. </w:t>
      </w:r>
    </w:p>
    <w:p>
      <w:pPr>
        <w:pStyle w:val="NormalIndent"/>
        <w:rPr>
          <w:sz w:val="20"/>
          <w:szCs w:val="20"/>
        </w:rPr>
      </w:pPr>
      <w:r>
        <w:rPr>
          <w:sz w:val="20"/>
          <w:szCs w:val="20"/>
        </w:rPr>
      </w:r>
    </w:p>
    <w:p>
      <w:pPr>
        <w:pStyle w:val="Normal"/>
        <w:rPr>
          <w:b/>
          <w:bCs/>
          <w:sz w:val="20"/>
          <w:szCs w:val="20"/>
        </w:rPr>
      </w:pPr>
      <w:r>
        <w:rPr>
          <w:b/>
          <w:bCs/>
          <w:sz w:val="20"/>
          <w:szCs w:val="20"/>
        </w:rPr>
        <w:t>Transwestern Pipeline Company</w:t>
      </w:r>
    </w:p>
    <w:p>
      <w:pPr>
        <w:pStyle w:val="NormalIndent"/>
        <w:rPr>
          <w:sz w:val="20"/>
          <w:szCs w:val="20"/>
        </w:rPr>
      </w:pPr>
      <w:r>
        <w:rPr>
          <w:sz w:val="20"/>
          <w:szCs w:val="20"/>
        </w:rPr>
        <w:t>2/14/00 - TW filed new tariff sheets for its EFBH and FTS-3 services with the changes required after intervenor comments.</w:t>
      </w:r>
    </w:p>
    <w:p>
      <w:pPr>
        <w:pStyle w:val="NormalIndent"/>
        <w:rPr/>
      </w:pPr>
      <w:r>
        <w:rPr/>
      </w:r>
    </w:p>
    <w:p>
      <w:pPr>
        <w:pStyle w:val="Normal"/>
        <w:rPr>
          <w:b/>
          <w:bCs/>
          <w:sz w:val="20"/>
          <w:szCs w:val="20"/>
        </w:rPr>
      </w:pPr>
      <w:r>
        <w:rPr>
          <w:b/>
          <w:bCs/>
          <w:sz w:val="20"/>
          <w:szCs w:val="20"/>
        </w:rPr>
        <w:t>Trunkline Gas Company</w:t>
      </w:r>
    </w:p>
    <w:p>
      <w:pPr>
        <w:pStyle w:val="NormalIndent"/>
        <w:rPr>
          <w:sz w:val="20"/>
          <w:szCs w:val="20"/>
        </w:rPr>
      </w:pPr>
      <w:r>
        <w:rPr>
          <w:sz w:val="20"/>
          <w:szCs w:val="20"/>
        </w:rPr>
        <w:t>FL filed pro forma tariff sheets retroactive to 8/1/96 in compliance with FERC Order.  TL reserves its right to recover costs by surcharge or other methods if FERC’s Order is revised on rehearing or court review.</w:t>
      </w:r>
    </w:p>
    <w:p>
      <w:pPr>
        <w:pStyle w:val="NormalIndent"/>
        <w:rPr/>
      </w:pPr>
      <w:r>
        <w:rPr/>
      </w:r>
    </w:p>
    <w:p>
      <w:pPr>
        <w:pStyle w:val="Normal"/>
        <w:rPr>
          <w:b/>
          <w:bCs/>
          <w:sz w:val="20"/>
          <w:szCs w:val="20"/>
        </w:rPr>
      </w:pPr>
      <w:r>
        <w:rPr>
          <w:b/>
          <w:bCs/>
          <w:sz w:val="20"/>
          <w:szCs w:val="20"/>
        </w:rPr>
        <w:t>Williams Gas Pipelines Central, Inc.</w:t>
      </w:r>
    </w:p>
    <w:p>
      <w:pPr>
        <w:pStyle w:val="NormalIndent"/>
        <w:rPr>
          <w:sz w:val="20"/>
          <w:szCs w:val="20"/>
        </w:rPr>
      </w:pPr>
      <w:r>
        <w:rPr>
          <w:sz w:val="20"/>
          <w:szCs w:val="20"/>
        </w:rPr>
        <w:t>2/11/00 - FERC issued certificate approving Williams’ application for construction that will enable it to provide increased FT service to Empire to serve a new combined cycle electric generating facility in Jasper County, MO.</w:t>
      </w:r>
    </w:p>
    <w:p>
      <w:pPr>
        <w:pStyle w:val="NormalIndent"/>
        <w:rPr>
          <w:sz w:val="20"/>
          <w:szCs w:val="20"/>
        </w:rPr>
      </w:pPr>
      <w:r>
        <w:rPr>
          <w:sz w:val="20"/>
          <w:szCs w:val="20"/>
        </w:rPr>
      </w:r>
    </w:p>
    <w:p>
      <w:pPr>
        <w:pStyle w:val="NormalIndent"/>
        <w:rPr>
          <w:sz w:val="20"/>
          <w:szCs w:val="20"/>
        </w:rPr>
      </w:pPr>
      <w:r>
        <w:rPr>
          <w:sz w:val="20"/>
          <w:szCs w:val="20"/>
        </w:rPr>
        <w:t>2/17/00 - Williams filed for approval of a pipeline expansion project designed to support growing LDC requirements, industrial needs and the new Pleasant Hill power plant that will be built in Cass County, Missouri.  Utilicorp has contracted for 35,000/d of firm service year round and an additional 16,000/d of summer only capacity to serve the new plant.  The plant can burn as much as 86,000/d.</w:t>
      </w:r>
    </w:p>
    <w:p>
      <w:pPr>
        <w:pStyle w:val="NormalIndent"/>
        <w:rPr>
          <w:sz w:val="20"/>
          <w:szCs w:val="20"/>
        </w:rPr>
      </w:pPr>
      <w:r>
        <w:rPr>
          <w:sz w:val="20"/>
          <w:szCs w:val="20"/>
        </w:rPr>
      </w:r>
    </w:p>
    <w:p>
      <w:pPr>
        <w:pStyle w:val="Normal"/>
        <w:rPr>
          <w:b/>
          <w:bCs/>
          <w:sz w:val="20"/>
          <w:szCs w:val="20"/>
        </w:rPr>
      </w:pPr>
      <w:r>
        <w:rPr>
          <w:b/>
          <w:bCs/>
          <w:sz w:val="20"/>
          <w:szCs w:val="20"/>
        </w:rPr>
        <w:t>Williston Basin Interstate Pipeline Company</w:t>
      </w:r>
    </w:p>
    <w:p>
      <w:pPr>
        <w:pStyle w:val="NormalIndent"/>
        <w:rPr>
          <w:sz w:val="20"/>
          <w:szCs w:val="20"/>
        </w:rPr>
      </w:pPr>
      <w:r>
        <w:rPr>
          <w:sz w:val="20"/>
          <w:szCs w:val="20"/>
        </w:rPr>
        <w:t>2/17/00 - FERC approved WB’s GSR surcharge of $.0043714 for FT demand and $.00441 for IT effective 2/1/00.  It will be recalculated in May 2001.</w:t>
      </w:r>
    </w:p>
    <w:p>
      <w:pPr>
        <w:pStyle w:val="NormalIndent"/>
        <w:rPr>
          <w:sz w:val="20"/>
          <w:szCs w:val="20"/>
        </w:rPr>
      </w:pPr>
      <w:r>
        <w:rPr>
          <w:sz w:val="20"/>
          <w:szCs w:val="20"/>
        </w:rPr>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2000-02-28T12:06:00Z</dcterms:created>
  <dc:creator>ECT</dc:creator>
  <dc:description/>
  <dc:language>en-CA</dc:language>
  <cp:lastModifiedBy>ECT</cp:lastModifiedBy>
  <cp:lastPrinted>2000-02-18T11:11:00Z</cp:lastPrinted>
  <dcterms:modified xsi:type="dcterms:W3CDTF">2000-03-02T14:58:00Z</dcterms:modified>
  <cp:revision>7</cp:revision>
  <dc:subject>Regulatory Filing Summary</dc:subject>
  <dc:title>Eron Capital &amp; Trade Resources Memo</dc:title>
</cp:coreProperties>
</file>