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widowControl/>
        <w:rPr>
          <w:sz w:val="20"/>
        </w:rPr>
      </w:pPr>
      <w:r>
        <w:rPr>
          <w:sz w:val="20"/>
        </w:rPr>
        <w:drawing>
          <wp:inline distT="0" distB="0" distL="0" distR="0">
            <wp:extent cx="994410" cy="98742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4" t="-35" r="-34" b="-35"/>
                    <a:stretch>
                      <a:fillRect/>
                    </a:stretch>
                  </pic:blipFill>
                  <pic:spPr bwMode="auto">
                    <a:xfrm>
                      <a:off x="0" y="0"/>
                      <a:ext cx="994410" cy="987425"/>
                    </a:xfrm>
                    <a:prstGeom prst="rect">
                      <a:avLst/>
                    </a:prstGeom>
                    <a:noFill/>
                  </pic:spPr>
                </pic:pic>
              </a:graphicData>
            </a:graphic>
          </wp:inline>
        </w:drawing>
      </w:r>
    </w:p>
    <w:p>
      <w:pPr>
        <w:pStyle w:val="Heading"/>
        <w:widowControl/>
        <w:rPr>
          <w:sz w:val="20"/>
        </w:rPr>
      </w:pPr>
      <w:r>
        <w:rPr>
          <w:sz w:val="20"/>
        </w:rPr>
      </w:r>
    </w:p>
    <w:tbl>
      <w:tblPr>
        <w:tblW w:w="11233" w:type="dxa"/>
        <w:jc w:val="start"/>
        <w:tblInd w:w="200" w:type="dxa"/>
        <w:tblLayout w:type="fixed"/>
        <w:tblCellMar>
          <w:top w:w="0" w:type="dxa"/>
          <w:start w:w="108" w:type="dxa"/>
          <w:bottom w:w="0" w:type="dxa"/>
          <w:end w:w="108" w:type="dxa"/>
        </w:tblCellMar>
      </w:tblPr>
      <w:tblGrid>
        <w:gridCol w:w="898"/>
        <w:gridCol w:w="6210"/>
        <w:gridCol w:w="1425"/>
        <w:gridCol w:w="2700"/>
      </w:tblGrid>
      <w:tr>
        <w:trPr>
          <w:trHeight w:val="1134" w:hRule="exact"/>
        </w:trPr>
        <w:tc>
          <w:tcPr>
            <w:tcW w:w="898" w:type="dxa"/>
            <w:tcBorders/>
          </w:tcPr>
          <w:p>
            <w:pPr>
              <w:pStyle w:val="Normal"/>
              <w:widowControl/>
              <w:ind w:start="-180" w:end="0"/>
              <w:jc w:val="end"/>
              <w:rPr>
                <w:sz w:val="20"/>
              </w:rPr>
            </w:pPr>
            <w:r>
              <w:rPr>
                <w:sz w:val="20"/>
              </w:rPr>
              <w:t>To:</w:t>
            </w:r>
          </w:p>
        </w:tc>
        <w:tc>
          <w:tcPr>
            <w:tcW w:w="6210" w:type="dxa"/>
            <w:tcBorders/>
          </w:tcPr>
          <w:p>
            <w:pPr>
              <w:pStyle w:val="To"/>
              <w:widowControl/>
              <w:ind w:end="-643"/>
              <w:rPr/>
            </w:pPr>
            <w:r>
              <w:rPr/>
              <w:t>Phillip Allen, Theresa Branney, Sandra Brawner, Maria Garza, Chris</w:t>
            </w:r>
          </w:p>
          <w:p>
            <w:pPr>
              <w:pStyle w:val="To"/>
              <w:widowControl/>
              <w:ind w:end="-643"/>
              <w:rPr/>
            </w:pPr>
            <w:r>
              <w:rPr/>
              <w:t>Germany, Dick Jenkins, Dan Junek, Tom Martin, Greg McClendon,</w:t>
            </w:r>
          </w:p>
          <w:p>
            <w:pPr>
              <w:pStyle w:val="To"/>
              <w:widowControl/>
              <w:ind w:end="-643"/>
              <w:rPr/>
            </w:pPr>
            <w:r>
              <w:rPr/>
              <w:t>Brad McKay, Scott Neal, Kim Olinger, Jeff Shankman, Hunter Shively,</w:t>
            </w:r>
          </w:p>
          <w:p>
            <w:pPr>
              <w:pStyle w:val="To"/>
              <w:widowControl/>
              <w:ind w:end="-643"/>
              <w:rPr/>
            </w:pPr>
            <w:r>
              <w:rPr/>
              <w:t>Fletch Sturm, Judy Townsend, Elsa Villareal</w:t>
            </w:r>
          </w:p>
        </w:tc>
        <w:tc>
          <w:tcPr>
            <w:tcW w:w="1425" w:type="dxa"/>
            <w:tcBorders/>
          </w:tcPr>
          <w:p>
            <w:pPr>
              <w:pStyle w:val="Normal"/>
              <w:widowControl/>
              <w:snapToGrid w:val="false"/>
              <w:ind w:start="-180" w:end="0"/>
              <w:rPr>
                <w:sz w:val="20"/>
              </w:rPr>
            </w:pPr>
            <w:r>
              <w:rPr>
                <w:sz w:val="20"/>
              </w:rPr>
            </w:r>
          </w:p>
        </w:tc>
        <w:tc>
          <w:tcPr>
            <w:tcW w:w="2700" w:type="dxa"/>
            <w:tcBorders/>
          </w:tcPr>
          <w:p>
            <w:pPr>
              <w:pStyle w:val="Normal"/>
              <w:widowControl/>
              <w:snapToGrid w:val="false"/>
              <w:rPr>
                <w:sz w:val="20"/>
              </w:rPr>
            </w:pPr>
            <w:r>
              <w:rPr>
                <w:sz w:val="20"/>
              </w:rPr>
            </w:r>
          </w:p>
        </w:tc>
      </w:tr>
      <w:tr>
        <w:trPr>
          <w:trHeight w:val="216" w:hRule="exact"/>
        </w:trPr>
        <w:tc>
          <w:tcPr>
            <w:tcW w:w="898" w:type="dxa"/>
            <w:tcBorders/>
          </w:tcPr>
          <w:p>
            <w:pPr>
              <w:pStyle w:val="Normal"/>
              <w:widowControl/>
              <w:snapToGrid w:val="false"/>
              <w:ind w:start="-180" w:end="0"/>
              <w:jc w:val="end"/>
              <w:rPr>
                <w:sz w:val="20"/>
              </w:rPr>
            </w:pPr>
            <w:r>
              <w:rPr>
                <w:sz w:val="20"/>
              </w:rPr>
            </w:r>
          </w:p>
        </w:tc>
        <w:tc>
          <w:tcPr>
            <w:tcW w:w="6210" w:type="dxa"/>
            <w:tcBorders/>
          </w:tcPr>
          <w:p>
            <w:pPr>
              <w:pStyle w:val="Normal"/>
              <w:widowControl/>
              <w:snapToGrid w:val="false"/>
              <w:ind w:end="-643"/>
              <w:rPr>
                <w:sz w:val="20"/>
              </w:rPr>
            </w:pPr>
            <w:r>
              <w:rPr>
                <w:sz w:val="20"/>
              </w:rPr>
            </w:r>
          </w:p>
        </w:tc>
        <w:tc>
          <w:tcPr>
            <w:tcW w:w="1425" w:type="dxa"/>
            <w:tcBorders/>
          </w:tcPr>
          <w:p>
            <w:pPr>
              <w:pStyle w:val="Normal"/>
              <w:widowControl/>
              <w:snapToGrid w:val="false"/>
              <w:ind w:start="-180" w:end="0"/>
              <w:rPr>
                <w:sz w:val="20"/>
              </w:rPr>
            </w:pPr>
            <w:r>
              <w:rPr>
                <w:sz w:val="20"/>
              </w:rPr>
            </w:r>
          </w:p>
        </w:tc>
        <w:tc>
          <w:tcPr>
            <w:tcW w:w="2700" w:type="dxa"/>
            <w:tcBorders/>
          </w:tcPr>
          <w:p>
            <w:pPr>
              <w:pStyle w:val="Normal"/>
              <w:widowControl/>
              <w:snapToGrid w:val="false"/>
              <w:rPr>
                <w:sz w:val="20"/>
              </w:rPr>
            </w:pPr>
            <w:r>
              <w:rPr>
                <w:sz w:val="20"/>
              </w:rPr>
            </w:r>
          </w:p>
        </w:tc>
      </w:tr>
      <w:tr>
        <w:trPr>
          <w:trHeight w:val="300" w:hRule="exact"/>
        </w:trPr>
        <w:tc>
          <w:tcPr>
            <w:tcW w:w="898" w:type="dxa"/>
            <w:tcBorders/>
          </w:tcPr>
          <w:p>
            <w:pPr>
              <w:pStyle w:val="Normal"/>
              <w:widowControl/>
              <w:ind w:start="-180" w:end="0"/>
              <w:jc w:val="end"/>
              <w:rPr>
                <w:sz w:val="20"/>
              </w:rPr>
            </w:pPr>
            <w:r>
              <w:rPr>
                <w:sz w:val="20"/>
              </w:rPr>
              <w:t>From:</w:t>
            </w:r>
          </w:p>
        </w:tc>
        <w:tc>
          <w:tcPr>
            <w:tcW w:w="6210" w:type="dxa"/>
            <w:tcBorders/>
          </w:tcPr>
          <w:p>
            <w:pPr>
              <w:pStyle w:val="From"/>
              <w:widowControl/>
              <w:ind w:end="-643"/>
              <w:rPr/>
            </w:pPr>
            <w:r>
              <w:rPr/>
              <w:t>Colleen Sullivan</w:t>
            </w:r>
          </w:p>
        </w:tc>
        <w:tc>
          <w:tcPr>
            <w:tcW w:w="1425" w:type="dxa"/>
            <w:tcBorders/>
          </w:tcPr>
          <w:p>
            <w:pPr>
              <w:pStyle w:val="Normal"/>
              <w:widowControl/>
              <w:ind w:start="-180" w:end="0"/>
              <w:jc w:val="end"/>
              <w:rPr>
                <w:sz w:val="20"/>
              </w:rPr>
            </w:pPr>
            <w:r>
              <w:rPr>
                <w:sz w:val="20"/>
              </w:rPr>
              <w:t>Department:</w:t>
            </w:r>
          </w:p>
        </w:tc>
        <w:tc>
          <w:tcPr>
            <w:tcW w:w="2700" w:type="dxa"/>
            <w:tcBorders/>
          </w:tcPr>
          <w:p>
            <w:pPr>
              <w:pStyle w:val="Department"/>
              <w:widowControl/>
              <w:rPr/>
            </w:pPr>
            <w:bookmarkStart w:id="0" w:name="From"/>
            <w:bookmarkEnd w:id="0"/>
            <w:r>
              <w:rPr/>
              <w:t>ECT</w:t>
            </w:r>
          </w:p>
        </w:tc>
      </w:tr>
      <w:tr>
        <w:trPr>
          <w:trHeight w:val="216" w:hRule="exact"/>
        </w:trPr>
        <w:tc>
          <w:tcPr>
            <w:tcW w:w="898" w:type="dxa"/>
            <w:tcBorders/>
          </w:tcPr>
          <w:p>
            <w:pPr>
              <w:pStyle w:val="Normal"/>
              <w:widowControl/>
              <w:snapToGrid w:val="false"/>
              <w:ind w:start="-180" w:end="0"/>
              <w:jc w:val="end"/>
              <w:rPr>
                <w:sz w:val="20"/>
              </w:rPr>
            </w:pPr>
            <w:r>
              <w:rPr>
                <w:sz w:val="20"/>
              </w:rPr>
            </w:r>
          </w:p>
        </w:tc>
        <w:tc>
          <w:tcPr>
            <w:tcW w:w="6210" w:type="dxa"/>
            <w:tcBorders/>
          </w:tcPr>
          <w:p>
            <w:pPr>
              <w:pStyle w:val="Normal"/>
              <w:widowControl/>
              <w:snapToGrid w:val="false"/>
              <w:ind w:end="-643"/>
              <w:rPr>
                <w:sz w:val="20"/>
              </w:rPr>
            </w:pPr>
            <w:r>
              <w:rPr>
                <w:sz w:val="20"/>
              </w:rPr>
            </w:r>
          </w:p>
        </w:tc>
        <w:tc>
          <w:tcPr>
            <w:tcW w:w="1425" w:type="dxa"/>
            <w:tcBorders/>
          </w:tcPr>
          <w:p>
            <w:pPr>
              <w:pStyle w:val="Normal"/>
              <w:widowControl/>
              <w:snapToGrid w:val="false"/>
              <w:ind w:start="-180" w:end="0"/>
              <w:rPr>
                <w:sz w:val="20"/>
              </w:rPr>
            </w:pPr>
            <w:r>
              <w:rPr>
                <w:sz w:val="20"/>
              </w:rPr>
            </w:r>
          </w:p>
        </w:tc>
        <w:tc>
          <w:tcPr>
            <w:tcW w:w="2700" w:type="dxa"/>
            <w:tcBorders/>
          </w:tcPr>
          <w:p>
            <w:pPr>
              <w:pStyle w:val="Normal"/>
              <w:widowControl/>
              <w:snapToGrid w:val="false"/>
              <w:rPr>
                <w:sz w:val="20"/>
              </w:rPr>
            </w:pPr>
            <w:r>
              <w:rPr>
                <w:sz w:val="20"/>
              </w:rPr>
            </w:r>
          </w:p>
        </w:tc>
      </w:tr>
      <w:tr>
        <w:trPr>
          <w:trHeight w:val="495" w:hRule="exact"/>
        </w:trPr>
        <w:tc>
          <w:tcPr>
            <w:tcW w:w="898" w:type="dxa"/>
            <w:tcBorders>
              <w:bottom w:val="single" w:sz="12" w:space="0" w:color="000000"/>
            </w:tcBorders>
          </w:tcPr>
          <w:p>
            <w:pPr>
              <w:pStyle w:val="Normal"/>
              <w:widowControl/>
              <w:ind w:start="-180" w:end="0"/>
              <w:jc w:val="end"/>
              <w:rPr>
                <w:sz w:val="20"/>
              </w:rPr>
            </w:pPr>
            <w:r>
              <w:rPr>
                <w:sz w:val="20"/>
              </w:rPr>
              <w:t>Subject:</w:t>
            </w:r>
          </w:p>
        </w:tc>
        <w:tc>
          <w:tcPr>
            <w:tcW w:w="6210" w:type="dxa"/>
            <w:tcBorders>
              <w:bottom w:val="single" w:sz="12" w:space="0" w:color="000000"/>
            </w:tcBorders>
          </w:tcPr>
          <w:p>
            <w:pPr>
              <w:pStyle w:val="Subject"/>
              <w:widowControl/>
              <w:ind w:end="-643"/>
              <w:rPr/>
            </w:pPr>
            <w:r>
              <w:rPr/>
              <w:t>Regulatory Filing Summary</w:t>
            </w:r>
          </w:p>
        </w:tc>
        <w:tc>
          <w:tcPr>
            <w:tcW w:w="1425" w:type="dxa"/>
            <w:tcBorders>
              <w:bottom w:val="single" w:sz="12" w:space="0" w:color="000000"/>
            </w:tcBorders>
          </w:tcPr>
          <w:p>
            <w:pPr>
              <w:pStyle w:val="Normal"/>
              <w:widowControl/>
              <w:ind w:start="-180" w:end="0"/>
              <w:jc w:val="end"/>
              <w:rPr>
                <w:sz w:val="20"/>
              </w:rPr>
            </w:pPr>
            <w:r>
              <w:rPr>
                <w:sz w:val="20"/>
              </w:rPr>
              <w:t>Date:</w:t>
            </w:r>
          </w:p>
        </w:tc>
        <w:tc>
          <w:tcPr>
            <w:tcW w:w="2700" w:type="dxa"/>
            <w:tcBorders>
              <w:bottom w:val="single" w:sz="12" w:space="0" w:color="000000"/>
            </w:tcBorders>
          </w:tcPr>
          <w:p>
            <w:pPr>
              <w:pStyle w:val="Date"/>
              <w:widowControl/>
              <w:rPr/>
            </w:pPr>
            <w:r>
              <w:rPr/>
              <w:t>March 24, 2000</w:t>
            </w:r>
          </w:p>
        </w:tc>
      </w:tr>
    </w:tbl>
    <w:p>
      <w:pPr>
        <w:pStyle w:val="Body"/>
        <w:widowControl/>
        <w:rPr/>
      </w:pPr>
      <w:r>
        <w:rPr/>
      </w:r>
      <w:bookmarkStart w:id="1" w:name="StartOfMemo"/>
      <w:bookmarkStart w:id="2" w:name="StartOfMemo"/>
      <w:bookmarkEnd w:id="2"/>
    </w:p>
    <w:p>
      <w:pPr>
        <w:pStyle w:val="Normal"/>
        <w:rPr>
          <w:sz w:val="20"/>
        </w:rPr>
      </w:pPr>
      <w:r>
        <w:rPr>
          <w:sz w:val="20"/>
        </w:rPr>
        <w:t>Following is the regulatory update summary.   If you have any questions, please call me at x35514.</w:t>
      </w:r>
    </w:p>
    <w:p>
      <w:pPr>
        <w:pStyle w:val="BodyTextIndent2"/>
        <w:widowControl/>
        <w:ind w:start="0" w:end="0"/>
        <w:rPr>
          <w:sz w:val="12"/>
        </w:rPr>
      </w:pPr>
      <w:r>
        <w:rPr>
          <w:sz w:val="12"/>
        </w:rPr>
      </w:r>
    </w:p>
    <w:p>
      <w:pPr>
        <w:pStyle w:val="Normal"/>
        <w:rPr>
          <w:b/>
          <w:sz w:val="20"/>
        </w:rPr>
      </w:pPr>
      <w:r>
        <w:rPr>
          <w:b/>
          <w:sz w:val="20"/>
        </w:rPr>
        <w:t>ANR Pipeline Company</w:t>
      </w:r>
    </w:p>
    <w:p>
      <w:pPr>
        <w:pStyle w:val="NormalIndent"/>
        <w:rPr>
          <w:sz w:val="20"/>
        </w:rPr>
      </w:pPr>
      <w:r>
        <w:rPr>
          <w:sz w:val="20"/>
        </w:rPr>
        <w:t>2/28/00 - ANR’s ITS-3 service is approved to be effective 3/1/00, subject to refund and filing of tariff sheets.  This is the variable hourly flow rights and short notice service.</w:t>
      </w:r>
    </w:p>
    <w:p>
      <w:pPr>
        <w:pStyle w:val="NormalIndent"/>
        <w:rPr>
          <w:sz w:val="20"/>
        </w:rPr>
      </w:pPr>
      <w:r>
        <w:rPr>
          <w:sz w:val="20"/>
        </w:rPr>
      </w:r>
    </w:p>
    <w:p>
      <w:pPr>
        <w:pStyle w:val="NormalIndent"/>
        <w:rPr>
          <w:sz w:val="20"/>
        </w:rPr>
      </w:pPr>
      <w:r>
        <w:rPr>
          <w:sz w:val="20"/>
        </w:rPr>
        <w:t>2/29/00 - ANR filed new tariff sheets to be effective 3/1/00 reflecting its quarterly rate changes for Dakota costs.</w:t>
      </w:r>
    </w:p>
    <w:p>
      <w:pPr>
        <w:pStyle w:val="NormalIndent"/>
        <w:rPr>
          <w:sz w:val="20"/>
        </w:rPr>
      </w:pPr>
      <w:r>
        <w:rPr>
          <w:sz w:val="20"/>
        </w:rPr>
      </w:r>
    </w:p>
    <w:p>
      <w:pPr>
        <w:pStyle w:val="NormalIndent"/>
        <w:rPr>
          <w:sz w:val="20"/>
        </w:rPr>
      </w:pPr>
      <w:r>
        <w:rPr>
          <w:sz w:val="20"/>
        </w:rPr>
        <w:t>3/1/00 - ANR filed new fuel rates effective April 1, 2000, resulting in slight decreases.</w:t>
      </w:r>
    </w:p>
    <w:p>
      <w:pPr>
        <w:pStyle w:val="NormalIndent"/>
        <w:rPr>
          <w:sz w:val="20"/>
        </w:rPr>
      </w:pPr>
      <w:r>
        <w:rPr>
          <w:sz w:val="20"/>
        </w:rPr>
      </w:r>
    </w:p>
    <w:p>
      <w:pPr>
        <w:pStyle w:val="Normal"/>
        <w:rPr>
          <w:b/>
          <w:sz w:val="20"/>
        </w:rPr>
      </w:pPr>
      <w:r>
        <w:rPr>
          <w:b/>
          <w:sz w:val="20"/>
        </w:rPr>
        <w:t>Colorado Interstate Gas Company</w:t>
      </w:r>
    </w:p>
    <w:p>
      <w:pPr>
        <w:pStyle w:val="NormalIndent"/>
        <w:rPr>
          <w:sz w:val="20"/>
        </w:rPr>
      </w:pPr>
      <w:r>
        <w:rPr>
          <w:sz w:val="20"/>
        </w:rPr>
        <w:t>2/24/00 - CIG filed to broaden its HUB-1 Service   It would allow wheeling without compression service at the Cheyenne Station Hub and they’ve also proposed a Park and Loan Service option.</w:t>
      </w:r>
    </w:p>
    <w:p>
      <w:pPr>
        <w:pStyle w:val="Normal"/>
        <w:rPr>
          <w:b/>
          <w:sz w:val="20"/>
        </w:rPr>
      </w:pPr>
      <w:r>
        <w:rPr>
          <w:b/>
          <w:sz w:val="20"/>
        </w:rPr>
      </w:r>
    </w:p>
    <w:p>
      <w:pPr>
        <w:pStyle w:val="Normal"/>
        <w:rPr>
          <w:b/>
          <w:sz w:val="20"/>
        </w:rPr>
      </w:pPr>
      <w:r>
        <w:rPr>
          <w:b/>
          <w:sz w:val="20"/>
        </w:rPr>
        <w:t>Columbia Gas Transmission</w:t>
      </w:r>
    </w:p>
    <w:p>
      <w:pPr>
        <w:pStyle w:val="NormalIndent"/>
        <w:rPr>
          <w:sz w:val="20"/>
        </w:rPr>
      </w:pPr>
      <w:r>
        <w:rPr>
          <w:sz w:val="20"/>
        </w:rPr>
        <w:t>3/1/00 - CGT filed new Electric Power Cost rates/surcharges, resulting in slight decreases to be effective 4/1/00.</w:t>
      </w:r>
    </w:p>
    <w:p>
      <w:pPr>
        <w:pStyle w:val="NormalIndent"/>
        <w:ind w:start="1335" w:end="0"/>
        <w:rPr>
          <w:sz w:val="20"/>
        </w:rPr>
      </w:pPr>
      <w:r>
        <w:rPr>
          <w:sz w:val="20"/>
        </w:rPr>
        <w:t>- CGT filed new fuel rates effective 4/1/00, resulting in slight increases in fuel charges.</w:t>
      </w:r>
    </w:p>
    <w:p>
      <w:pPr>
        <w:pStyle w:val="NormalIndent"/>
        <w:ind w:start="1335" w:end="0"/>
        <w:rPr>
          <w:sz w:val="20"/>
        </w:rPr>
      </w:pPr>
      <w:r>
        <w:rPr>
          <w:sz w:val="20"/>
        </w:rPr>
        <w:t>- CGT filed new TCRA surcharges, resulting in slight decreases in demand costs, slight increases in FT commodity costs and decreases in ITS commodity charges.</w:t>
      </w:r>
    </w:p>
    <w:p>
      <w:pPr>
        <w:pStyle w:val="NormalIndent"/>
        <w:rPr>
          <w:sz w:val="20"/>
        </w:rPr>
      </w:pPr>
      <w:r>
        <w:rPr>
          <w:sz w:val="20"/>
        </w:rPr>
      </w:r>
    </w:p>
    <w:p>
      <w:pPr>
        <w:pStyle w:val="Normal"/>
        <w:rPr>
          <w:b/>
          <w:sz w:val="20"/>
        </w:rPr>
      </w:pPr>
      <w:r>
        <w:rPr>
          <w:b/>
          <w:sz w:val="20"/>
        </w:rPr>
        <w:t>Columbia Gulf Transmission</w:t>
      </w:r>
    </w:p>
    <w:p>
      <w:pPr>
        <w:pStyle w:val="NormalIndent"/>
        <w:rPr>
          <w:sz w:val="20"/>
        </w:rPr>
      </w:pPr>
      <w:r>
        <w:rPr>
          <w:sz w:val="20"/>
        </w:rPr>
        <w:t xml:space="preserve">3/1/00 - CGulf filed new fuel rates effective 4/1/00. </w:t>
      </w:r>
    </w:p>
    <w:p>
      <w:pPr>
        <w:pStyle w:val="NormalIndent"/>
        <w:rPr>
          <w:sz w:val="20"/>
        </w:rPr>
      </w:pPr>
      <w:r>
        <w:rPr>
          <w:sz w:val="20"/>
        </w:rPr>
      </w:r>
    </w:p>
    <w:p>
      <w:pPr>
        <w:pStyle w:val="Normal"/>
        <w:rPr>
          <w:b/>
          <w:sz w:val="20"/>
        </w:rPr>
      </w:pPr>
      <w:r>
        <w:rPr>
          <w:b/>
          <w:sz w:val="20"/>
        </w:rPr>
        <w:t>El Paso Natural Gas Company</w:t>
      </w:r>
    </w:p>
    <w:p>
      <w:pPr>
        <w:pStyle w:val="NormalIndent"/>
        <w:rPr>
          <w:sz w:val="20"/>
        </w:rPr>
      </w:pPr>
      <w:r>
        <w:rPr>
          <w:sz w:val="20"/>
        </w:rPr>
        <w:t>3/1/00 - EPNG filed for authorization to increase the MAOP of the Ramsey Plant Line in order to allow Huntington Energy to transport 30,000/d.</w:t>
      </w:r>
    </w:p>
    <w:p>
      <w:pPr>
        <w:pStyle w:val="NormalIndent"/>
        <w:rPr>
          <w:sz w:val="20"/>
        </w:rPr>
      </w:pPr>
      <w:r>
        <w:rPr>
          <w:sz w:val="20"/>
        </w:rPr>
      </w:r>
    </w:p>
    <w:p>
      <w:pPr>
        <w:pStyle w:val="NormalIndent"/>
        <w:rPr>
          <w:sz w:val="20"/>
        </w:rPr>
      </w:pPr>
      <w:r>
        <w:rPr>
          <w:sz w:val="20"/>
        </w:rPr>
        <w:t>2/29/00 - EPNG filed notice of new negotiated rate transaction, continuing a deal with Tenaska for March 2000 for 56,241/d at a rate of $.052 demand from Permian to various points in Texas.</w:t>
      </w:r>
    </w:p>
    <w:p>
      <w:pPr>
        <w:pStyle w:val="NormalIndent"/>
        <w:rPr>
          <w:sz w:val="20"/>
        </w:rPr>
      </w:pPr>
      <w:r>
        <w:rPr>
          <w:sz w:val="20"/>
        </w:rPr>
      </w:r>
    </w:p>
    <w:p>
      <w:pPr>
        <w:pStyle w:val="Normal"/>
        <w:rPr>
          <w:b/>
          <w:sz w:val="20"/>
        </w:rPr>
      </w:pPr>
      <w:r>
        <w:rPr>
          <w:b/>
          <w:sz w:val="20"/>
        </w:rPr>
        <w:t>Florida Gas Transmission Company</w:t>
      </w:r>
    </w:p>
    <w:p>
      <w:pPr>
        <w:pStyle w:val="NormalIndent"/>
        <w:rPr>
          <w:sz w:val="20"/>
        </w:rPr>
      </w:pPr>
      <w:r>
        <w:rPr>
          <w:sz w:val="20"/>
        </w:rPr>
        <w:t>2/29/00 - FGT filed new fuel rates and surcharge effective 4/1/00, resulting in slight decreases.</w:t>
      </w:r>
    </w:p>
    <w:p>
      <w:pPr>
        <w:pStyle w:val="NormalIndent"/>
        <w:rPr>
          <w:sz w:val="20"/>
        </w:rPr>
      </w:pPr>
      <w:r>
        <w:rPr>
          <w:sz w:val="20"/>
        </w:rPr>
      </w:r>
    </w:p>
    <w:p>
      <w:pPr>
        <w:pStyle w:val="Normal"/>
        <w:rPr>
          <w:b/>
          <w:sz w:val="20"/>
        </w:rPr>
      </w:pPr>
      <w:r>
        <w:rPr>
          <w:b/>
          <w:sz w:val="20"/>
        </w:rPr>
        <w:t>Louisiana Intrastate Gas Company</w:t>
      </w:r>
    </w:p>
    <w:p>
      <w:pPr>
        <w:pStyle w:val="NormalIndent"/>
        <w:rPr>
          <w:sz w:val="20"/>
        </w:rPr>
      </w:pPr>
      <w:r>
        <w:rPr>
          <w:sz w:val="20"/>
        </w:rPr>
        <w:t>3/00 - LIG filed for new IT and FT max rates, to be effective 3/3/00.  The new rates are increases</w:t>
      </w:r>
    </w:p>
    <w:p>
      <w:pPr>
        <w:pStyle w:val="NormalIndent"/>
        <w:rPr>
          <w:sz w:val="20"/>
        </w:rPr>
      </w:pPr>
      <w:r>
        <w:rPr>
          <w:sz w:val="20"/>
        </w:rPr>
        <w:tab/>
        <w:tab/>
        <w:t>Current</w:t>
        <w:tab/>
        <w:tab/>
        <w:t>Proposed</w:t>
        <w:tab/>
        <w:tab/>
        <w:tab/>
        <w:tab/>
        <w:t>Current</w:t>
        <w:tab/>
        <w:tab/>
        <w:t>Proposed</w:t>
      </w:r>
    </w:p>
    <w:p>
      <w:pPr>
        <w:pStyle w:val="NormalIndent"/>
        <w:rPr>
          <w:sz w:val="20"/>
        </w:rPr>
      </w:pPr>
      <w:r>
        <w:rPr>
          <w:sz w:val="20"/>
        </w:rPr>
        <w:t>FT demand</w:t>
        <w:tab/>
        <w:t>$6.4914</w:t>
        <w:tab/>
        <w:t>$5.3923</w:t>
        <w:tab/>
        <w:tab/>
        <w:t>overrun chg</w:t>
        <w:tab/>
        <w:t>$.1773</w:t>
        <w:tab/>
        <w:tab/>
        <w:t>$.2134</w:t>
      </w:r>
    </w:p>
    <w:p>
      <w:pPr>
        <w:pStyle w:val="NormalIndent"/>
        <w:rPr>
          <w:sz w:val="20"/>
        </w:rPr>
      </w:pPr>
      <w:r>
        <w:rPr>
          <w:sz w:val="20"/>
        </w:rPr>
        <w:t>FT comm.</w:t>
        <w:tab/>
        <w:t>$0.00</w:t>
        <w:tab/>
        <w:tab/>
        <w:t>$0.00</w:t>
        <w:tab/>
        <w:tab/>
        <w:tab/>
        <w:t>IT</w:t>
        <w:tab/>
        <w:tab/>
        <w:t>$.1773</w:t>
        <w:tab/>
        <w:tab/>
        <w:t>$.2134</w:t>
      </w:r>
      <w:r>
        <w:br w:type="page"/>
      </w:r>
    </w:p>
    <w:p>
      <w:pPr>
        <w:pStyle w:val="NormalIndent"/>
        <w:rPr>
          <w:sz w:val="20"/>
        </w:rPr>
      </w:pPr>
      <w:r>
        <w:rPr>
          <w:sz w:val="20"/>
        </w:rPr>
      </w:r>
    </w:p>
    <w:p>
      <w:pPr>
        <w:pStyle w:val="Normal"/>
        <w:rPr>
          <w:b/>
          <w:sz w:val="20"/>
        </w:rPr>
      </w:pPr>
      <w:r>
        <w:rPr>
          <w:b/>
          <w:sz w:val="20"/>
        </w:rPr>
        <w:t>Natural Gas Pipeline Company of America</w:t>
      </w:r>
    </w:p>
    <w:p>
      <w:pPr>
        <w:pStyle w:val="NormalIndent"/>
        <w:rPr>
          <w:sz w:val="20"/>
        </w:rPr>
      </w:pPr>
      <w:r>
        <w:rPr>
          <w:sz w:val="20"/>
        </w:rPr>
        <w:t>3/1/00 - NGPL filed to allow inclusive rates (with surcharges, except GRI, ACA and fuel) without having to file a negotiated rate; also, to allow adjustments to rate components for discounted agreements, and to provide that PALS service be subject to balancing service charges even during non-OFO conditions.</w:t>
      </w:r>
    </w:p>
    <w:p>
      <w:pPr>
        <w:pStyle w:val="NormalIndent"/>
        <w:rPr>
          <w:sz w:val="20"/>
        </w:rPr>
      </w:pPr>
      <w:r>
        <w:rPr>
          <w:sz w:val="20"/>
        </w:rPr>
      </w:r>
    </w:p>
    <w:p>
      <w:pPr>
        <w:pStyle w:val="NormalIndent"/>
        <w:rPr>
          <w:sz w:val="20"/>
        </w:rPr>
      </w:pPr>
      <w:r>
        <w:rPr>
          <w:sz w:val="20"/>
        </w:rPr>
        <w:t>2/29/00 - NGPL filed notice of its negotiated rate agreements with Nicor Gas effective 4/1/00 through 3/31/04.</w:t>
      </w:r>
    </w:p>
    <w:p>
      <w:pPr>
        <w:pStyle w:val="NormalIndent"/>
        <w:rPr>
          <w:sz w:val="20"/>
        </w:rPr>
      </w:pPr>
      <w:r>
        <w:rPr>
          <w:sz w:val="20"/>
        </w:rPr>
      </w:r>
    </w:p>
    <w:p>
      <w:pPr>
        <w:pStyle w:val="Normal"/>
        <w:rPr>
          <w:b/>
          <w:sz w:val="20"/>
        </w:rPr>
      </w:pPr>
      <w:r>
        <w:rPr>
          <w:b/>
          <w:sz w:val="20"/>
        </w:rPr>
        <w:t>Panhandle Eastern Pipe Line Company</w:t>
      </w:r>
    </w:p>
    <w:p>
      <w:pPr>
        <w:pStyle w:val="NormalIndent"/>
        <w:rPr>
          <w:sz w:val="20"/>
        </w:rPr>
      </w:pPr>
      <w:r>
        <w:rPr>
          <w:sz w:val="20"/>
        </w:rPr>
        <w:t>3/1/00 - PEPL filed new fuel percentages effective April 1, 2000, resulting in slight decrease in the Market Zone.</w:t>
      </w:r>
    </w:p>
    <w:p>
      <w:pPr>
        <w:pStyle w:val="NormalIndent"/>
        <w:rPr>
          <w:sz w:val="20"/>
        </w:rPr>
      </w:pPr>
      <w:r>
        <w:rPr>
          <w:sz w:val="20"/>
        </w:rPr>
      </w:r>
    </w:p>
    <w:p>
      <w:pPr>
        <w:pStyle w:val="Normal"/>
        <w:rPr>
          <w:b/>
          <w:sz w:val="20"/>
        </w:rPr>
      </w:pPr>
      <w:r>
        <w:rPr>
          <w:b/>
          <w:sz w:val="20"/>
        </w:rPr>
        <w:t>Petal Gas Storage, LLC</w:t>
      </w:r>
    </w:p>
    <w:p>
      <w:pPr>
        <w:pStyle w:val="NormalIndent"/>
        <w:rPr>
          <w:sz w:val="20"/>
        </w:rPr>
      </w:pPr>
      <w:r>
        <w:rPr>
          <w:sz w:val="20"/>
        </w:rPr>
        <w:t>3/2/00 - Petal revised its original proposal for Phase II expansion to use Tennessee instead of building 59 miles of pipe.</w:t>
      </w:r>
    </w:p>
    <w:p>
      <w:pPr>
        <w:pStyle w:val="NormalIndent"/>
        <w:rPr>
          <w:sz w:val="20"/>
        </w:rPr>
      </w:pPr>
      <w:r>
        <w:rPr>
          <w:sz w:val="20"/>
        </w:rPr>
      </w:r>
    </w:p>
    <w:p>
      <w:pPr>
        <w:pStyle w:val="Normal"/>
        <w:rPr>
          <w:b/>
          <w:sz w:val="20"/>
        </w:rPr>
      </w:pPr>
      <w:r>
        <w:rPr>
          <w:b/>
          <w:sz w:val="20"/>
        </w:rPr>
        <w:t>PG&amp;E Gas Transmission (PGT)</w:t>
      </w:r>
    </w:p>
    <w:p>
      <w:pPr>
        <w:pStyle w:val="NormalIndent"/>
        <w:rPr>
          <w:sz w:val="20"/>
        </w:rPr>
      </w:pPr>
      <w:r>
        <w:rPr>
          <w:sz w:val="20"/>
        </w:rPr>
        <w:t>3/1/00 - PG&amp;E filed notice of two new negotiated deals with Reliant Canada for the month of March 2000.  The demand charge equals the daily Malin index minus the daily Stanfield index minus variable cost minus $.04, with a minimum of zero.  Each contract is for 5,000/day.</w:t>
      </w:r>
    </w:p>
    <w:p>
      <w:pPr>
        <w:pStyle w:val="NormalIndent"/>
        <w:rPr>
          <w:sz w:val="20"/>
        </w:rPr>
      </w:pPr>
      <w:r>
        <w:rPr>
          <w:sz w:val="20"/>
        </w:rPr>
      </w:r>
    </w:p>
    <w:p>
      <w:pPr>
        <w:pStyle w:val="Normal"/>
        <w:rPr>
          <w:b/>
          <w:sz w:val="20"/>
        </w:rPr>
      </w:pPr>
      <w:r>
        <w:rPr>
          <w:b/>
          <w:sz w:val="20"/>
        </w:rPr>
        <w:t>Reliant Gas Transmission Company (Noram)</w:t>
      </w:r>
    </w:p>
    <w:p>
      <w:pPr>
        <w:pStyle w:val="NormalIndent"/>
        <w:rPr>
          <w:sz w:val="20"/>
        </w:rPr>
      </w:pPr>
      <w:r>
        <w:rPr>
          <w:sz w:val="20"/>
        </w:rPr>
        <w:t>2/29/00 - Reliant filed notice of negotiated rate agreements as follows:  Two agreements with Reliant Energy Services for 15,000/d each from Carthage to Perryville (various pipes) with the rate calculated as the difference between the Texas Gas Z1 daily index and the Carthage Hub tailgate index, less variable cost.  If the spread is less than or equal to $.01, the demand charge =  $.01.  If the spread is greater than $.01, then the demand charge is 85% of the spread.  The third agreement is also with Reliant with similar terms except the $.01 minimum is $.035, and the receipt point is the neutral and north pooling areas.</w:t>
      </w:r>
    </w:p>
    <w:p>
      <w:pPr>
        <w:pStyle w:val="NormalIndent"/>
        <w:rPr>
          <w:sz w:val="20"/>
        </w:rPr>
      </w:pPr>
      <w:r>
        <w:rPr>
          <w:sz w:val="20"/>
        </w:rPr>
      </w:r>
    </w:p>
    <w:p>
      <w:pPr>
        <w:pStyle w:val="NormalIndent"/>
        <w:rPr>
          <w:sz w:val="20"/>
        </w:rPr>
      </w:pPr>
      <w:r>
        <w:rPr>
          <w:sz w:val="20"/>
        </w:rPr>
        <w:t>3/8/00 - Reliant is proposing a new tariff provision which would allow it to hold 415,000/day of capacity on MRT’s system for delivery to Perryville market center, to eliminate the need for shippers to contract with two different pipelines for service to the Perryville hub.</w:t>
      </w:r>
    </w:p>
    <w:p>
      <w:pPr>
        <w:pStyle w:val="NormalIndent"/>
        <w:rPr>
          <w:sz w:val="20"/>
        </w:rPr>
      </w:pPr>
      <w:r>
        <w:rPr>
          <w:sz w:val="20"/>
        </w:rPr>
      </w:r>
    </w:p>
    <w:p>
      <w:pPr>
        <w:pStyle w:val="Normal"/>
        <w:rPr>
          <w:b/>
          <w:sz w:val="20"/>
        </w:rPr>
      </w:pPr>
      <w:r>
        <w:rPr>
          <w:b/>
          <w:sz w:val="20"/>
        </w:rPr>
        <w:t>Southern Natural Gas Company</w:t>
      </w:r>
    </w:p>
    <w:p>
      <w:pPr>
        <w:pStyle w:val="NormalIndent"/>
        <w:rPr>
          <w:sz w:val="20"/>
        </w:rPr>
      </w:pPr>
      <w:r>
        <w:rPr>
          <w:sz w:val="20"/>
        </w:rPr>
        <w:t>2/29/00 - Sonat filed tariff sheets reflecting new rates per its rate case, but these may be in effect only temporarily.  Sonat is asking FERC to approve its settlement rates retroactive to March 1.</w:t>
      </w:r>
    </w:p>
    <w:p>
      <w:pPr>
        <w:pStyle w:val="NormalIndent"/>
        <w:rPr>
          <w:sz w:val="20"/>
        </w:rPr>
      </w:pPr>
      <w:r>
        <w:rPr>
          <w:sz w:val="20"/>
        </w:rPr>
      </w:r>
    </w:p>
    <w:p>
      <w:pPr>
        <w:pStyle w:val="Normal"/>
        <w:rPr>
          <w:b/>
          <w:sz w:val="20"/>
        </w:rPr>
      </w:pPr>
      <w:r>
        <w:rPr>
          <w:b/>
          <w:sz w:val="20"/>
        </w:rPr>
        <w:t>Southern LNG Inc.</w:t>
      </w:r>
    </w:p>
    <w:p>
      <w:pPr>
        <w:pStyle w:val="NormalIndent"/>
        <w:rPr>
          <w:sz w:val="20"/>
        </w:rPr>
      </w:pPr>
      <w:r>
        <w:rPr>
          <w:sz w:val="20"/>
        </w:rPr>
        <w:t>3/14/00 - FERC issued a Draft Order issuing certificates for the Elba Island terminal reactivation.</w:t>
      </w:r>
    </w:p>
    <w:p>
      <w:pPr>
        <w:pStyle w:val="NormalIndent"/>
        <w:rPr>
          <w:sz w:val="20"/>
        </w:rPr>
      </w:pPr>
      <w:r>
        <w:rPr>
          <w:sz w:val="20"/>
        </w:rPr>
      </w:r>
    </w:p>
    <w:p>
      <w:pPr>
        <w:pStyle w:val="Normal"/>
        <w:rPr>
          <w:b/>
          <w:sz w:val="20"/>
        </w:rPr>
      </w:pPr>
      <w:r>
        <w:rPr>
          <w:b/>
          <w:sz w:val="20"/>
        </w:rPr>
        <w:t>Transcontinental Gas Pipe Line Corporation</w:t>
      </w:r>
    </w:p>
    <w:p>
      <w:pPr>
        <w:pStyle w:val="NormalIndent"/>
        <w:rPr>
          <w:sz w:val="20"/>
        </w:rPr>
      </w:pPr>
      <w:r>
        <w:rPr>
          <w:sz w:val="20"/>
        </w:rPr>
        <w:t>3/10/00 - Transco filed new fuel rate changes effective 4/1/00, but reserves the right to revise the filing if its dispute of a previous filing is modified.</w:t>
      </w:r>
    </w:p>
    <w:p>
      <w:pPr>
        <w:pStyle w:val="NormalIndent"/>
        <w:rPr>
          <w:sz w:val="20"/>
        </w:rPr>
      </w:pPr>
      <w:r>
        <w:rPr>
          <w:sz w:val="20"/>
        </w:rPr>
      </w:r>
    </w:p>
    <w:p>
      <w:pPr>
        <w:pStyle w:val="NormalIndent"/>
        <w:rPr>
          <w:sz w:val="20"/>
        </w:rPr>
      </w:pPr>
      <w:r>
        <w:rPr>
          <w:sz w:val="20"/>
        </w:rPr>
        <w:t>3/6/00 - Transco filed tariff sheets reflecting its increased Electric Power Unit Rates for Rate Schedule GSS Excess Delivery Charge, which was inadvertently left out of its previous filing.</w:t>
      </w:r>
    </w:p>
    <w:p>
      <w:pPr>
        <w:pStyle w:val="NormalIndent"/>
        <w:rPr>
          <w:sz w:val="20"/>
        </w:rPr>
      </w:pPr>
      <w:r>
        <w:rPr>
          <w:sz w:val="20"/>
        </w:rPr>
      </w:r>
    </w:p>
    <w:p>
      <w:pPr>
        <w:pStyle w:val="NormalIndent"/>
        <w:rPr>
          <w:sz w:val="20"/>
        </w:rPr>
      </w:pPr>
      <w:r>
        <w:rPr>
          <w:sz w:val="20"/>
        </w:rPr>
        <w:t>3/7/00 - Transco filed revised rates to reflect the spin down of its Tilden/McMullen Gathering System, with a proposed effective date of 4/1/00.</w:t>
      </w:r>
    </w:p>
    <w:p>
      <w:pPr>
        <w:pStyle w:val="NormalIndent"/>
        <w:rPr>
          <w:sz w:val="20"/>
        </w:rPr>
      </w:pPr>
      <w:r>
        <w:rPr>
          <w:sz w:val="20"/>
        </w:rPr>
      </w:r>
    </w:p>
    <w:p>
      <w:pPr>
        <w:pStyle w:val="Normal"/>
        <w:rPr>
          <w:b/>
          <w:sz w:val="20"/>
        </w:rPr>
      </w:pPr>
      <w:r>
        <w:rPr>
          <w:b/>
          <w:sz w:val="20"/>
        </w:rPr>
        <w:t>Trunkline Gas Company</w:t>
      </w:r>
    </w:p>
    <w:p>
      <w:pPr>
        <w:pStyle w:val="NormalIndent"/>
        <w:rPr>
          <w:sz w:val="20"/>
        </w:rPr>
      </w:pPr>
      <w:r>
        <w:rPr>
          <w:sz w:val="20"/>
        </w:rPr>
        <w:t>3/1/00 - Trunkline filed new fuel rates to be effective 4/1/00.</w:t>
      </w:r>
    </w:p>
    <w:p>
      <w:pPr>
        <w:pStyle w:val="NormalIndent"/>
        <w:rPr/>
      </w:pPr>
      <w:r>
        <w:rPr/>
      </w:r>
    </w:p>
    <w:p>
      <w:pPr>
        <w:pStyle w:val="Normal"/>
        <w:rPr>
          <w:b/>
          <w:sz w:val="20"/>
        </w:rPr>
      </w:pPr>
      <w:r>
        <w:rPr>
          <w:b/>
          <w:sz w:val="20"/>
        </w:rPr>
        <w:t>Viking Gas Transmission Company</w:t>
      </w:r>
    </w:p>
    <w:p>
      <w:pPr>
        <w:pStyle w:val="NormalIndent"/>
        <w:rPr>
          <w:sz w:val="20"/>
        </w:rPr>
      </w:pPr>
      <w:r>
        <w:rPr>
          <w:sz w:val="20"/>
        </w:rPr>
        <w:t>Viking filed its annual fuel changes, effective April 1, 2000.</w:t>
      </w:r>
    </w:p>
    <w:p>
      <w:pPr>
        <w:pStyle w:val="NormalIndent"/>
        <w:rPr/>
      </w:pPr>
      <w:r>
        <w:rPr/>
      </w:r>
    </w:p>
    <w:sectPr>
      <w:headerReference w:type="default" r:id="rId3"/>
      <w:headerReference w:type="first" r:id="rId4"/>
      <w:footerReference w:type="default" r:id="rId5"/>
      <w:footerReference w:type="first" r:id="rId6"/>
      <w:type w:val="nextPage"/>
      <w:pgSz w:w="12240" w:h="15840"/>
      <w:pgMar w:left="720" w:right="720" w:gutter="0" w:header="720" w:top="1170" w:footer="360" w:bottom="41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tabs>
        <w:tab w:val="clear" w:pos="4320"/>
        <w:tab w:val="left" w:pos="3780" w:leader="none"/>
        <w:tab w:val="center" w:pos="7560" w:leader="none"/>
        <w:tab w:val="right" w:pos="8640" w:leader="none"/>
      </w:tabs>
      <w:jc w:val="center"/>
      <w:rPr>
        <w:b/>
        <w:sz w:val="16"/>
      </w:rPr>
    </w:pPr>
    <w:r>
      <w:rPr>
        <w:b/>
        <w:sz w:val="16"/>
      </w:rPr>
      <w:t>Your Personal Best Makes Enron Best</w:t>
      <w:tab/>
      <w:t>Communicate- Facts Are Friendly</w:t>
      <w:tab/>
      <w:tab/>
      <w:t>Better, Faster, Simpler</w:t>
    </w:r>
  </w:p>
  <w:p>
    <w:pPr>
      <w:pStyle w:val="Footer"/>
      <w:widowControl/>
      <w:tabs>
        <w:tab w:val="clear" w:pos="4320"/>
        <w:tab w:val="left" w:pos="3780" w:leader="none"/>
        <w:tab w:val="center" w:pos="7560" w:leader="none"/>
        <w:tab w:val="right" w:pos="8640" w:leader="none"/>
      </w:tabs>
      <w:rPr>
        <w:sz w:val="12"/>
      </w:rPr>
    </w:pPr>
    <w:r>
      <w:rPr>
        <w:sz w:val="12"/>
      </w:rPr>
      <w:t>Form 000-469-1 (5/92)</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tabs>
        <w:tab w:val="clear" w:pos="4320"/>
        <w:tab w:val="left" w:pos="2430" w:leader="none"/>
        <w:tab w:val="left" w:pos="5310" w:leader="none"/>
        <w:tab w:val="right" w:pos="8640" w:leader="none"/>
        <w:tab w:val="right" w:pos="10800" w:leader="none"/>
      </w:tabs>
      <w:rPr>
        <w:sz w:val="16"/>
      </w:rPr>
    </w:pPr>
    <w:r>
      <w:rPr>
        <w:b/>
        <w:sz w:val="16"/>
      </w:rPr>
      <w:t>Respect</w:t>
      <w:tab/>
      <w:t>Integrity</w:t>
      <w:tab/>
      <w:t>Communication</w:t>
      <w:tab/>
      <w:t>Excellence</w:t>
    </w:r>
  </w:p>
  <w:p>
    <w:pPr>
      <w:pStyle w:val="Footer"/>
      <w:widowControl/>
      <w:tabs>
        <w:tab w:val="clear" w:pos="4320"/>
        <w:tab w:val="left" w:pos="3780" w:leader="none"/>
        <w:tab w:val="center" w:pos="7560" w:leader="none"/>
        <w:tab w:val="right" w:pos="8640" w:leader="none"/>
        <w:tab w:val="right" w:pos="10800" w:leader="none"/>
      </w:tabs>
      <w:rPr>
        <w:sz w:val="12"/>
      </w:rPr>
    </w:pPr>
    <w:r>
      <w:rPr>
        <w:sz w:val="12"/>
      </w:rPr>
      <w:t>Form 000-469-1 (7/92)</w:t>
    </w:r>
  </w:p>
  <w:p>
    <w:pPr>
      <w:pStyle w:val="Footer"/>
      <w:widowControl/>
      <w:tabs>
        <w:tab w:val="clear" w:pos="4320"/>
        <w:tab w:val="left" w:pos="3780" w:leader="none"/>
        <w:tab w:val="center" w:pos="7560" w:leader="none"/>
        <w:tab w:val="right" w:pos="8640" w:leader="none"/>
        <w:tab w:val="right" w:pos="10800" w:leader="none"/>
      </w:tabs>
      <w:rPr>
        <w:sz w:val="8"/>
      </w:rPr>
    </w:pPr>
    <w:r>
      <w:rPr>
        <w:sz w:val="8"/>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rPr/>
    </w:pPr>
    <w:r>
      <w:rPr/>
      <w:tab/>
    </w:r>
    <w:r>
      <w:rPr/>
      <w:fldChar w:fldCharType="begin"/>
    </w:r>
    <w:r>
      <w:rPr/>
      <w:instrText xml:space="preserve"> DATE \@"M/d/yyyy" </w:instrText>
    </w:r>
    <w:r>
      <w:rPr/>
      <w:fldChar w:fldCharType="separate"/>
    </w:r>
    <w:r>
      <w:rPr/>
      <w:t>9/28/2025</w:t>
    </w:r>
    <w:r>
      <w:rPr/>
      <w:fldChar w:fldCharType="end"/>
    </w:r>
    <w:r>
      <w:rPr/>
      <w:tab/>
      <w:t xml:space="preserve">Page </w:t>
    </w:r>
    <w:r>
      <w:rPr/>
      <w:fldChar w:fldCharType="begin"/>
    </w:r>
    <w:r>
      <w:rPr/>
      <w:instrText xml:space="preserve"> PAGE </w:instrText>
    </w:r>
    <w:r>
      <w:rPr/>
      <w:fldChar w:fldCharType="separate"/>
    </w:r>
    <w:r>
      <w:rPr/>
      <w:t>2</w:t>
    </w:r>
    <w:r>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r>
      <mc:AlternateContent>
        <mc:Choice Requires="wps">
          <w:drawing>
            <wp:anchor behindDoc="0" distT="0" distB="0" distL="118745" distR="118745" simplePos="0" locked="0" layoutInCell="0" allowOverlap="1" relativeHeight="3">
              <wp:simplePos x="0" y="0"/>
              <wp:positionH relativeFrom="page">
                <wp:posOffset>2556510</wp:posOffset>
              </wp:positionH>
              <wp:positionV relativeFrom="paragraph">
                <wp:posOffset>-360045</wp:posOffset>
              </wp:positionV>
              <wp:extent cx="3877310" cy="658495"/>
              <wp:effectExtent l="0" t="0" r="0" b="0"/>
              <wp:wrapSquare wrapText="bothSides"/>
              <wp:docPr id="2" name="Frame1"/>
              <a:graphic xmlns:a="http://schemas.openxmlformats.org/drawingml/2006/main">
                <a:graphicData uri="http://schemas.microsoft.com/office/word/2010/wordprocessingShape">
                  <wps:wsp>
                    <wps:cNvSpPr txBox="1"/>
                    <wps:spPr>
                      <a:xfrm>
                        <a:off x="0" y="0"/>
                        <a:ext cx="3877310" cy="658495"/>
                      </a:xfrm>
                      <a:prstGeom prst="rect"/>
                      <a:solidFill>
                        <a:srgbClr val="FFFFFF">
                          <a:alpha val="0"/>
                        </a:srgbClr>
                      </a:solidFill>
                    </wps:spPr>
                    <wps:txbx>
                      <w:txbxContent>
                        <w:p>
                          <w:pPr>
                            <w:pStyle w:val="Normal"/>
                            <w:widowControl/>
                            <w:ind w:start="3600" w:end="0"/>
                            <w:rPr>
                              <w:b/>
                              <w:sz w:val="32"/>
                            </w:rPr>
                          </w:pPr>
                          <w:r>
                            <w:rPr>
                              <w:b/>
                              <w:sz w:val="32"/>
                            </w:rPr>
                            <w:t>InterofficeMemorandum</w:t>
                          </w:r>
                        </w:p>
                      </w:txbxContent>
                    </wps:txbx>
                    <wps:bodyPr anchor="t" lIns="0" tIns="0" rIns="0" bIns="0">
                      <a:noAutofit/>
                    </wps:bodyPr>
                  </wps:wsp>
                </a:graphicData>
              </a:graphic>
            </wp:anchor>
          </w:drawing>
        </mc:Choice>
        <mc:Fallback>
          <w:pict>
            <v:rect fillcolor="#FFFFFF" style="position:absolute;rotation:-0;width:305.3pt;height:51.85pt;mso-wrap-distance-left:9.35pt;mso-wrap-distance-right:9.35pt;mso-wrap-distance-top:0pt;mso-wrap-distance-bottom:0pt;margin-top:-28.35pt;mso-position-vertical-relative:text;margin-left:201.3pt;mso-position-horizontal-relative:page">
              <v:fill opacity="0f"/>
              <v:textbox inset="0in,0in,0in,0in">
                <w:txbxContent>
                  <w:p>
                    <w:pPr>
                      <w:pStyle w:val="Normal"/>
                      <w:widowControl/>
                      <w:ind w:start="3600" w:end="0"/>
                      <w:rPr>
                        <w:b/>
                        <w:sz w:val="32"/>
                      </w:rPr>
                    </w:pPr>
                    <w:r>
                      <w:rPr>
                        <w:b/>
                        <w:sz w:val="32"/>
                      </w:rPr>
                      <w:t>InterofficeMemorandum</w:t>
                    </w:r>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tabs>
        <w:tab w:val="clear" w:pos="720"/>
        <w:tab w:val="left" w:pos="540" w:leader="none"/>
      </w:tabs>
      <w:bidi w:val="0"/>
    </w:pPr>
    <w:rPr>
      <w:rFonts w:ascii="Arial" w:hAnsi="Arial" w:eastAsia="Times New Roman" w:cs="Arial"/>
      <w:color w:val="auto"/>
      <w:sz w:val="24"/>
      <w:szCs w:val="20"/>
      <w:lang w:val="en-US" w:eastAsia="zh-CN" w:bidi="hi-IN"/>
    </w:rPr>
  </w:style>
  <w:style w:type="paragraph" w:styleId="Heading1">
    <w:name w:val="heading 1"/>
    <w:basedOn w:val="Normal"/>
    <w:next w:val="Normal"/>
    <w:qFormat/>
    <w:pPr>
      <w:keepNext w:val="true"/>
      <w:numPr>
        <w:ilvl w:val="0"/>
        <w:numId w:val="1"/>
      </w:numPr>
      <w:tabs>
        <w:tab w:val="clear" w:pos="540"/>
      </w:tabs>
      <w:outlineLvl w:val="0"/>
    </w:pPr>
    <w:rPr>
      <w:rFonts w:ascii="Times New Roman" w:hAnsi="Times New Roman" w:cs="Times New Roman"/>
    </w:rPr>
  </w:style>
  <w:style w:type="paragraph" w:styleId="Heading2">
    <w:name w:val="heading 2"/>
    <w:basedOn w:val="Normal"/>
    <w:next w:val="Normal"/>
    <w:qFormat/>
    <w:pPr>
      <w:keepNext w:val="true"/>
      <w:numPr>
        <w:ilvl w:val="1"/>
        <w:numId w:val="1"/>
      </w:numPr>
      <w:tabs>
        <w:tab w:val="clear" w:pos="540"/>
      </w:tabs>
      <w:outlineLvl w:val="1"/>
    </w:pPr>
    <w:rPr>
      <w:rFonts w:ascii="Times New Roman" w:hAnsi="Times New Roman" w:cs="Times New Roman"/>
      <w:b/>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paragraph" w:styleId="Heading4">
    <w:name w:val="heading 4"/>
    <w:basedOn w:val="Normal"/>
    <w:next w:val="Normal"/>
    <w:qFormat/>
    <w:pPr>
      <w:keepNext w:val="true"/>
      <w:numPr>
        <w:ilvl w:val="3"/>
        <w:numId w:val="1"/>
      </w:numPr>
      <w:tabs>
        <w:tab w:val="clear" w:pos="540"/>
      </w:tabs>
      <w:ind w:hanging="720" w:start="720" w:end="0"/>
      <w:outlineLvl w:val="3"/>
    </w:pPr>
    <w:rPr>
      <w:rFonts w:ascii="Times New Roman" w:hAnsi="Times New Roman" w:cs="Times New Roman"/>
    </w:rPr>
  </w:style>
  <w:style w:type="paragraph" w:styleId="Heading5">
    <w:name w:val="heading 5"/>
    <w:basedOn w:val="Normal"/>
    <w:next w:val="Normal"/>
    <w:qFormat/>
    <w:pPr>
      <w:keepNext w:val="true"/>
      <w:numPr>
        <w:ilvl w:val="4"/>
        <w:numId w:val="1"/>
      </w:numPr>
      <w:tabs>
        <w:tab w:val="clear" w:pos="540"/>
      </w:tabs>
      <w:ind w:hanging="1440" w:start="1440" w:end="0"/>
      <w:outlineLvl w:val="4"/>
    </w:pPr>
    <w:rPr>
      <w:rFonts w:ascii="Times New Roman" w:hAnsi="Times New Roman" w:cs="Times New Roman"/>
    </w:rPr>
  </w:style>
  <w:style w:type="paragraph" w:styleId="Heading6">
    <w:name w:val="heading 6"/>
    <w:basedOn w:val="Normal"/>
    <w:next w:val="Normal"/>
    <w:qFormat/>
    <w:pPr>
      <w:keepNext w:val="true"/>
      <w:numPr>
        <w:ilvl w:val="5"/>
        <w:numId w:val="1"/>
      </w:numPr>
      <w:tabs>
        <w:tab w:val="clear" w:pos="540"/>
      </w:tabs>
      <w:ind w:hanging="1530" w:start="1440" w:end="0"/>
      <w:outlineLvl w:val="5"/>
    </w:pPr>
    <w:rPr>
      <w:rFonts w:ascii="Times New Roman" w:hAnsi="Times New Roman" w:cs="Times New Roman"/>
    </w:rPr>
  </w:style>
  <w:style w:type="character" w:styleId="DefaultParagraphFont">
    <w:name w:val="Default Paragraph Font"/>
    <w:qFormat/>
    <w:rPr/>
  </w:style>
  <w:style w:type="paragraph" w:styleId="Heading">
    <w:name w:val="Heading"/>
    <w:basedOn w:val="Normal"/>
    <w:next w:val="BodyText"/>
    <w:qFormat/>
    <w:pPr>
      <w:tabs>
        <w:tab w:val="clear" w:pos="540"/>
      </w:tabs>
    </w:pPr>
    <w:rPr>
      <w:b/>
    </w:rPr>
  </w:style>
  <w:style w:type="paragraph" w:styleId="BodyText">
    <w:name w:val="Body Text"/>
    <w:basedOn w:val="Normal"/>
    <w:pPr>
      <w:tabs>
        <w:tab w:val="clear" w:pos="540"/>
      </w:tabs>
    </w:pPr>
    <w:rPr>
      <w:rFonts w:ascii="Times New Roman" w:hAnsi="Times New Roman" w:cs="Times New Roman"/>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540"/>
        <w:tab w:val="center" w:pos="4986" w:leader="none"/>
        <w:tab w:val="right" w:pos="9972" w:leader="none"/>
      </w:tabs>
    </w:pPr>
    <w:rPr/>
  </w:style>
  <w:style w:type="paragraph" w:styleId="Footer">
    <w:name w:val="footer"/>
    <w:basedOn w:val="Normal"/>
    <w:pPr>
      <w:tabs>
        <w:tab w:val="clear" w:pos="540"/>
        <w:tab w:val="center" w:pos="4320" w:leader="none"/>
        <w:tab w:val="right" w:pos="8640" w:leader="none"/>
      </w:tabs>
    </w:pPr>
    <w:rPr/>
  </w:style>
  <w:style w:type="paragraph" w:styleId="Header">
    <w:name w:val="header"/>
    <w:basedOn w:val="Normal"/>
    <w:pPr>
      <w:tabs>
        <w:tab w:val="clear" w:pos="540"/>
        <w:tab w:val="center" w:pos="4320" w:leader="none"/>
        <w:tab w:val="right" w:pos="8640" w:leader="none"/>
      </w:tabs>
    </w:pPr>
    <w:rPr/>
  </w:style>
  <w:style w:type="paragraph" w:styleId="Subject">
    <w:name w:val="Subject"/>
    <w:basedOn w:val="Normal"/>
    <w:qFormat/>
    <w:pPr>
      <w:tabs>
        <w:tab w:val="clear" w:pos="540"/>
      </w:tabs>
    </w:pPr>
    <w:rPr>
      <w:sz w:val="20"/>
    </w:rPr>
  </w:style>
  <w:style w:type="paragraph" w:styleId="Date">
    <w:name w:val="Date"/>
    <w:basedOn w:val="Normal"/>
    <w:qFormat/>
    <w:pPr>
      <w:tabs>
        <w:tab w:val="clear" w:pos="540"/>
      </w:tabs>
    </w:pPr>
    <w:rPr>
      <w:sz w:val="20"/>
    </w:rPr>
  </w:style>
  <w:style w:type="paragraph" w:styleId="To">
    <w:name w:val="To"/>
    <w:basedOn w:val="Normal"/>
    <w:qFormat/>
    <w:pPr>
      <w:tabs>
        <w:tab w:val="clear" w:pos="540"/>
      </w:tabs>
    </w:pPr>
    <w:rPr>
      <w:sz w:val="20"/>
    </w:rPr>
  </w:style>
  <w:style w:type="paragraph" w:styleId="From">
    <w:name w:val="From"/>
    <w:basedOn w:val="Normal"/>
    <w:qFormat/>
    <w:pPr>
      <w:tabs>
        <w:tab w:val="clear" w:pos="540"/>
      </w:tabs>
    </w:pPr>
    <w:rPr>
      <w:sz w:val="20"/>
    </w:rPr>
  </w:style>
  <w:style w:type="paragraph" w:styleId="CopyList">
    <w:name w:val="CopyList"/>
    <w:basedOn w:val="Normal"/>
    <w:qFormat/>
    <w:pPr>
      <w:tabs>
        <w:tab w:val="clear" w:pos="540"/>
        <w:tab w:val="left" w:pos="504" w:leader="none"/>
      </w:tabs>
      <w:spacing w:before="360" w:after="0"/>
      <w:ind w:hanging="504" w:start="576" w:end="0"/>
    </w:pPr>
    <w:rPr>
      <w:sz w:val="20"/>
    </w:rPr>
  </w:style>
  <w:style w:type="paragraph" w:styleId="Body">
    <w:name w:val="Body"/>
    <w:basedOn w:val="Normal"/>
    <w:qFormat/>
    <w:pPr>
      <w:tabs>
        <w:tab w:val="clear" w:pos="540"/>
      </w:tabs>
      <w:ind w:hanging="0" w:start="72" w:end="0"/>
    </w:pPr>
    <w:rPr>
      <w:color w:val="000080"/>
      <w:sz w:val="20"/>
    </w:rPr>
  </w:style>
  <w:style w:type="paragraph" w:styleId="Department">
    <w:name w:val="Department"/>
    <w:basedOn w:val="Normal"/>
    <w:qFormat/>
    <w:pPr>
      <w:tabs>
        <w:tab w:val="clear" w:pos="540"/>
      </w:tabs>
    </w:pPr>
    <w:rPr>
      <w:sz w:val="20"/>
    </w:rPr>
  </w:style>
  <w:style w:type="paragraph" w:styleId="BodyTextIndent">
    <w:name w:val="Body Text Indent"/>
    <w:basedOn w:val="Normal"/>
    <w:pPr>
      <w:tabs>
        <w:tab w:val="clear" w:pos="540"/>
      </w:tabs>
      <w:ind w:hanging="720" w:start="720" w:end="0"/>
    </w:pPr>
    <w:rPr>
      <w:rFonts w:ascii="Times New Roman" w:hAnsi="Times New Roman" w:cs="Times New Roman"/>
    </w:rPr>
  </w:style>
  <w:style w:type="paragraph" w:styleId="BodyTextIndent2">
    <w:name w:val="Body Text Indent 2"/>
    <w:basedOn w:val="Normal"/>
    <w:qFormat/>
    <w:pPr>
      <w:tabs>
        <w:tab w:val="clear" w:pos="540"/>
      </w:tabs>
      <w:ind w:hanging="0" w:start="720" w:end="0"/>
    </w:pPr>
    <w:rPr>
      <w:rFonts w:ascii="Times New Roman" w:hAnsi="Times New Roman" w:cs="Times New Roman"/>
    </w:rPr>
  </w:style>
  <w:style w:type="paragraph" w:styleId="BodyTextIndent3">
    <w:name w:val="Body Text Indent 3"/>
    <w:basedOn w:val="Normal"/>
    <w:qFormat/>
    <w:pPr>
      <w:ind w:hanging="720" w:start="720" w:end="0"/>
    </w:pPr>
    <w:rPr>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Ectmemo.dot</Template>
  <TotalTime>134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2000-03-20T13:29:00Z</dcterms:created>
  <dc:creator>ECT</dc:creator>
  <dc:description/>
  <dc:language>en-CA</dc:language>
  <cp:lastModifiedBy>ECT</cp:lastModifiedBy>
  <cp:lastPrinted>2000-02-18T11:11:00Z</cp:lastPrinted>
  <dcterms:modified xsi:type="dcterms:W3CDTF">2000-03-30T14:12:00Z</dcterms:modified>
  <cp:revision>7</cp:revision>
  <dc:subject>Regulatory Filing Summary</dc:subject>
  <dc:title>Eron Capital &amp; Trade Resources Memo</dc:title>
</cp:coreProperties>
</file>