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p>
      <w:pPr>
        <w:pStyle w:val="Heading"/>
        <w:widowControl/>
        <w:rPr>
          <w:sz w:val="20"/>
          <w:szCs w:val="20"/>
        </w:rPr>
      </w:pPr>
      <w:r>
        <w:rPr>
          <w:sz w:val="20"/>
          <w:szCs w:val="20"/>
        </w:rPr>
      </w:r>
    </w:p>
    <w:tbl>
      <w:tblPr>
        <w:tblW w:w="11233" w:type="dxa"/>
        <w:jc w:val="start"/>
        <w:tblInd w:w="200" w:type="dxa"/>
        <w:tblLayout w:type="fixed"/>
        <w:tblCellMar>
          <w:top w:w="0" w:type="dxa"/>
          <w:start w:w="108" w:type="dxa"/>
          <w:bottom w:w="0" w:type="dxa"/>
          <w:end w:w="108" w:type="dxa"/>
        </w:tblCellMar>
      </w:tblPr>
      <w:tblGrid>
        <w:gridCol w:w="898"/>
        <w:gridCol w:w="6210"/>
        <w:gridCol w:w="1425"/>
        <w:gridCol w:w="2700"/>
      </w:tblGrid>
      <w:tr>
        <w:trPr>
          <w:trHeight w:val="1134" w:hRule="exact"/>
        </w:trPr>
        <w:tc>
          <w:tcPr>
            <w:tcW w:w="898" w:type="dxa"/>
            <w:tcBorders/>
          </w:tcPr>
          <w:p>
            <w:pPr>
              <w:pStyle w:val="Normal"/>
              <w:widowControl/>
              <w:ind w:start="-180" w:end="0"/>
              <w:jc w:val="end"/>
              <w:rPr>
                <w:sz w:val="20"/>
                <w:szCs w:val="20"/>
              </w:rPr>
            </w:pPr>
            <w:r>
              <w:rPr>
                <w:sz w:val="20"/>
                <w:szCs w:val="20"/>
              </w:rPr>
              <w:t>To:</w:t>
            </w:r>
          </w:p>
        </w:tc>
        <w:tc>
          <w:tcPr>
            <w:tcW w:w="6210" w:type="dxa"/>
            <w:tcBorders/>
          </w:tcPr>
          <w:p>
            <w:pPr>
              <w:pStyle w:val="To"/>
              <w:widowControl/>
              <w:ind w:end="-643"/>
              <w:rPr/>
            </w:pPr>
            <w:r>
              <w:rPr/>
              <w:t>Phillip Allen, Theresa Branney, Sandra Brawner, Maria Garza, Chris</w:t>
            </w:r>
          </w:p>
          <w:p>
            <w:pPr>
              <w:pStyle w:val="To"/>
              <w:widowControl/>
              <w:ind w:end="-643"/>
              <w:rPr/>
            </w:pPr>
            <w:r>
              <w:rPr/>
              <w:t>Germany, Dick Jenkins, Dan Junek, Tom Martin, Greg McClendon,</w:t>
            </w:r>
          </w:p>
          <w:p>
            <w:pPr>
              <w:pStyle w:val="To"/>
              <w:widowControl/>
              <w:ind w:end="-643"/>
              <w:rPr/>
            </w:pPr>
            <w:r>
              <w:rPr/>
              <w:t>Brad McKay, Scott Neal, Kim Olinger, Jeff Shankman, Hunter Shively,</w:t>
            </w:r>
          </w:p>
          <w:p>
            <w:pPr>
              <w:pStyle w:val="To"/>
              <w:widowControl/>
              <w:ind w:end="-643"/>
              <w:rPr/>
            </w:pPr>
            <w:r>
              <w:rPr/>
              <w:t>Fletch Sturm, Judy Townsend, Elsa Villareal</w:t>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300" w:hRule="exact"/>
        </w:trPr>
        <w:tc>
          <w:tcPr>
            <w:tcW w:w="898" w:type="dxa"/>
            <w:tcBorders/>
          </w:tcPr>
          <w:p>
            <w:pPr>
              <w:pStyle w:val="Normal"/>
              <w:widowControl/>
              <w:ind w:start="-180" w:end="0"/>
              <w:jc w:val="end"/>
              <w:rPr>
                <w:sz w:val="20"/>
                <w:szCs w:val="20"/>
              </w:rPr>
            </w:pPr>
            <w:r>
              <w:rPr>
                <w:sz w:val="20"/>
                <w:szCs w:val="20"/>
              </w:rPr>
              <w:t>From:</w:t>
            </w:r>
          </w:p>
        </w:tc>
        <w:tc>
          <w:tcPr>
            <w:tcW w:w="6210" w:type="dxa"/>
            <w:tcBorders/>
          </w:tcPr>
          <w:p>
            <w:pPr>
              <w:pStyle w:val="From"/>
              <w:widowControl/>
              <w:ind w:end="-643"/>
              <w:rPr/>
            </w:pPr>
            <w:r>
              <w:rPr/>
              <w:t>Colleen Sullivan</w:t>
            </w:r>
          </w:p>
        </w:tc>
        <w:tc>
          <w:tcPr>
            <w:tcW w:w="1425" w:type="dxa"/>
            <w:tcBorders/>
          </w:tcPr>
          <w:p>
            <w:pPr>
              <w:pStyle w:val="Normal"/>
              <w:widowControl/>
              <w:ind w:start="-180" w:end="0"/>
              <w:jc w:val="end"/>
              <w:rPr>
                <w:sz w:val="20"/>
                <w:szCs w:val="20"/>
              </w:rPr>
            </w:pPr>
            <w:r>
              <w:rPr>
                <w:sz w:val="20"/>
                <w:szCs w:val="20"/>
              </w:rPr>
              <w:t>Department:</w:t>
            </w:r>
          </w:p>
        </w:tc>
        <w:tc>
          <w:tcPr>
            <w:tcW w:w="2700" w:type="dxa"/>
            <w:tcBorders/>
          </w:tcPr>
          <w:p>
            <w:pPr>
              <w:pStyle w:val="Department"/>
              <w:widowControl/>
              <w:rPr/>
            </w:pPr>
            <w:bookmarkStart w:id="0" w:name="From"/>
            <w:bookmarkEnd w:id="0"/>
            <w:r>
              <w:rPr/>
              <w:t>ECT</w:t>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495" w:hRule="exact"/>
        </w:trPr>
        <w:tc>
          <w:tcPr>
            <w:tcW w:w="898" w:type="dxa"/>
            <w:tcBorders>
              <w:bottom w:val="single" w:sz="12" w:space="0" w:color="000000"/>
            </w:tcBorders>
          </w:tcPr>
          <w:p>
            <w:pPr>
              <w:pStyle w:val="Normal"/>
              <w:widowControl/>
              <w:ind w:start="-180" w:end="0"/>
              <w:jc w:val="end"/>
              <w:rPr>
                <w:sz w:val="20"/>
                <w:szCs w:val="20"/>
              </w:rPr>
            </w:pPr>
            <w:r>
              <w:rPr>
                <w:sz w:val="20"/>
                <w:szCs w:val="20"/>
              </w:rPr>
              <w:t>Subject:</w:t>
            </w:r>
          </w:p>
        </w:tc>
        <w:tc>
          <w:tcPr>
            <w:tcW w:w="6210" w:type="dxa"/>
            <w:tcBorders>
              <w:bottom w:val="single" w:sz="12" w:space="0" w:color="000000"/>
            </w:tcBorders>
          </w:tcPr>
          <w:p>
            <w:pPr>
              <w:pStyle w:val="Subject"/>
              <w:widowControl/>
              <w:ind w:end="-643"/>
              <w:rPr/>
            </w:pPr>
            <w:r>
              <w:rPr/>
              <w:t>Regulatory Filing Summary</w:t>
            </w:r>
          </w:p>
        </w:tc>
        <w:tc>
          <w:tcPr>
            <w:tcW w:w="1425" w:type="dxa"/>
            <w:tcBorders>
              <w:bottom w:val="single" w:sz="12" w:space="0" w:color="000000"/>
            </w:tcBorders>
          </w:tcPr>
          <w:p>
            <w:pPr>
              <w:pStyle w:val="Normal"/>
              <w:widowControl/>
              <w:ind w:start="-180" w:end="0"/>
              <w:jc w:val="end"/>
              <w:rPr>
                <w:sz w:val="20"/>
                <w:szCs w:val="20"/>
              </w:rPr>
            </w:pPr>
            <w:r>
              <w:rPr>
                <w:sz w:val="20"/>
                <w:szCs w:val="20"/>
              </w:rPr>
              <w:t>Date:</w:t>
            </w:r>
          </w:p>
        </w:tc>
        <w:tc>
          <w:tcPr>
            <w:tcW w:w="2700" w:type="dxa"/>
            <w:tcBorders>
              <w:bottom w:val="single" w:sz="12" w:space="0" w:color="000000"/>
            </w:tcBorders>
          </w:tcPr>
          <w:p>
            <w:pPr>
              <w:pStyle w:val="Date"/>
              <w:widowControl/>
              <w:rPr/>
            </w:pPr>
            <w:r>
              <w:rPr/>
              <w:t>February 18, 2000</w:t>
            </w:r>
          </w:p>
        </w:tc>
      </w:tr>
    </w:tbl>
    <w:p>
      <w:pPr>
        <w:pStyle w:val="Body"/>
        <w:widowControl/>
        <w:rPr/>
      </w:pPr>
      <w:r>
        <w:rPr/>
      </w:r>
      <w:bookmarkStart w:id="1" w:name="StartOfMemo"/>
      <w:bookmarkStart w:id="2" w:name="StartOfMemo"/>
      <w:bookmarkEnd w:id="2"/>
    </w:p>
    <w:p>
      <w:pPr>
        <w:pStyle w:val="Normal"/>
        <w:rPr>
          <w:sz w:val="20"/>
          <w:szCs w:val="20"/>
        </w:rPr>
      </w:pPr>
      <w:r>
        <w:rPr>
          <w:sz w:val="20"/>
          <w:szCs w:val="20"/>
        </w:rPr>
        <w:t>Following is the regulatory update summary.   If you have any questions, please call me at x35514.</w:t>
      </w:r>
    </w:p>
    <w:p>
      <w:pPr>
        <w:pStyle w:val="BodyTextIndent2"/>
        <w:widowControl/>
        <w:ind w:start="0" w:end="0"/>
        <w:rPr>
          <w:sz w:val="12"/>
          <w:szCs w:val="12"/>
        </w:rPr>
      </w:pPr>
      <w:r>
        <w:rPr>
          <w:sz w:val="12"/>
          <w:szCs w:val="12"/>
        </w:rPr>
      </w:r>
    </w:p>
    <w:p>
      <w:pPr>
        <w:pStyle w:val="BodyTextIndent2"/>
        <w:widowControl/>
        <w:ind w:start="0" w:end="0"/>
        <w:rPr>
          <w:sz w:val="12"/>
          <w:szCs w:val="12"/>
        </w:rPr>
      </w:pPr>
      <w:r>
        <w:rPr>
          <w:sz w:val="12"/>
          <w:szCs w:val="12"/>
        </w:rPr>
      </w:r>
    </w:p>
    <w:p>
      <w:pPr>
        <w:pStyle w:val="Normal"/>
        <w:rPr>
          <w:b/>
          <w:bCs/>
          <w:sz w:val="20"/>
          <w:szCs w:val="20"/>
        </w:rPr>
      </w:pPr>
      <w:r>
        <w:rPr>
          <w:b/>
          <w:bCs/>
          <w:sz w:val="20"/>
          <w:szCs w:val="20"/>
        </w:rPr>
        <w:t>ANR Pipeline Company</w:t>
      </w:r>
    </w:p>
    <w:p>
      <w:pPr>
        <w:pStyle w:val="NormalIndent"/>
        <w:rPr>
          <w:sz w:val="20"/>
          <w:szCs w:val="20"/>
        </w:rPr>
      </w:pPr>
      <w:r>
        <w:rPr>
          <w:sz w:val="20"/>
          <w:szCs w:val="20"/>
        </w:rPr>
        <w:t>2/2/00 - ANR proposes adding the Weakley County Interconnection on its SE Southern Segment near Gleason, TN as an eligible point for IPLS service (Park and Loan).</w:t>
      </w:r>
    </w:p>
    <w:p>
      <w:pPr>
        <w:pStyle w:val="Normal"/>
        <w:rPr>
          <w:b/>
          <w:bCs/>
          <w:sz w:val="20"/>
          <w:szCs w:val="20"/>
        </w:rPr>
      </w:pPr>
      <w:r>
        <w:rPr>
          <w:b/>
          <w:bCs/>
          <w:sz w:val="20"/>
          <w:szCs w:val="20"/>
        </w:rPr>
      </w:r>
    </w:p>
    <w:p>
      <w:pPr>
        <w:pStyle w:val="Normal"/>
        <w:rPr>
          <w:b/>
          <w:bCs/>
          <w:sz w:val="20"/>
          <w:szCs w:val="20"/>
        </w:rPr>
      </w:pPr>
      <w:r>
        <w:rPr>
          <w:b/>
          <w:bCs/>
          <w:sz w:val="20"/>
          <w:szCs w:val="20"/>
        </w:rPr>
        <w:t>CNG Transmission Corporation</w:t>
      </w:r>
    </w:p>
    <w:p>
      <w:pPr>
        <w:pStyle w:val="NormalIndent"/>
        <w:rPr>
          <w:sz w:val="20"/>
          <w:szCs w:val="20"/>
        </w:rPr>
      </w:pPr>
      <w:r>
        <w:rPr>
          <w:sz w:val="20"/>
          <w:szCs w:val="20"/>
        </w:rPr>
        <w:t>CNG filed its new rate proposal for Title Tracking Service.  This is the service that FERC told them they could not charge a volumetric rate, so they have proposed an 84.33 cents per day charge to the seller on each transaction, regardless of the volume.</w:t>
      </w:r>
    </w:p>
    <w:p>
      <w:pPr>
        <w:pStyle w:val="NormalIndent"/>
        <w:rPr>
          <w:sz w:val="20"/>
          <w:szCs w:val="20"/>
        </w:rPr>
      </w:pPr>
      <w:r>
        <w:rPr>
          <w:sz w:val="20"/>
          <w:szCs w:val="20"/>
        </w:rPr>
      </w:r>
    </w:p>
    <w:p>
      <w:pPr>
        <w:pStyle w:val="NormalIndent"/>
        <w:rPr>
          <w:sz w:val="20"/>
          <w:szCs w:val="20"/>
        </w:rPr>
      </w:pPr>
      <w:r>
        <w:rPr>
          <w:sz w:val="20"/>
          <w:szCs w:val="20"/>
        </w:rPr>
        <w:t xml:space="preserve">1/24/00 - CNG filed tariff sheets to implement its Settlement, reflecting revised rates effective 2/1/00.  The rates are all slightly reduced </w:t>
      </w:r>
    </w:p>
    <w:p>
      <w:pPr>
        <w:pStyle w:val="NormalIndent"/>
        <w:rPr>
          <w:sz w:val="20"/>
          <w:szCs w:val="20"/>
        </w:rPr>
      </w:pPr>
      <w:r>
        <w:rPr>
          <w:sz w:val="20"/>
          <w:szCs w:val="20"/>
        </w:rPr>
      </w:r>
    </w:p>
    <w:p>
      <w:pPr>
        <w:pStyle w:val="Normal"/>
        <w:rPr>
          <w:b/>
          <w:bCs/>
          <w:sz w:val="20"/>
          <w:szCs w:val="20"/>
        </w:rPr>
      </w:pPr>
      <w:r>
        <w:rPr>
          <w:b/>
          <w:bCs/>
          <w:sz w:val="20"/>
          <w:szCs w:val="20"/>
        </w:rPr>
        <w:t>El Paso Natural Gas Company</w:t>
      </w:r>
    </w:p>
    <w:p>
      <w:pPr>
        <w:pStyle w:val="NormalIndent"/>
        <w:rPr>
          <w:sz w:val="20"/>
          <w:szCs w:val="20"/>
        </w:rPr>
      </w:pPr>
      <w:r>
        <w:rPr>
          <w:sz w:val="20"/>
          <w:szCs w:val="20"/>
        </w:rPr>
        <w:t>2/8/00 - El Paso filed its proposal to deal with capacity allocation issues, as required by FERC’s November order.  They propose to assign “pathed” versus “non-pathed” rights to every agreement, then pathed rights will be given priority over non-pathed rights for two cycles of nominations, then non-pathed rights would be allowed to be prorated to the most desired delivery points.</w:t>
      </w:r>
    </w:p>
    <w:p>
      <w:pPr>
        <w:pStyle w:val="NormalIndent"/>
        <w:rPr>
          <w:sz w:val="20"/>
          <w:szCs w:val="20"/>
        </w:rPr>
      </w:pPr>
      <w:r>
        <w:rPr>
          <w:sz w:val="20"/>
          <w:szCs w:val="20"/>
        </w:rPr>
      </w:r>
    </w:p>
    <w:p>
      <w:pPr>
        <w:pStyle w:val="NormalIndent"/>
        <w:rPr>
          <w:sz w:val="20"/>
          <w:szCs w:val="20"/>
        </w:rPr>
      </w:pPr>
      <w:r>
        <w:rPr>
          <w:sz w:val="20"/>
          <w:szCs w:val="20"/>
        </w:rPr>
        <w:t>2/9/00 - FERC issued statement that the Presidential Permits were approved for the Willcox Lateral and border crossing to Mexico.  The Willcox Lateral and border crossing facilities will have the ability to flow 130,000/d--80,000/d to the existing and proposed Hermosillo Power Plants and approximately 50,000/d to the proposed El Fresnal/Nogales Power Plant.  The proposed rate is an incremental rate of $.1467/Dth.</w:t>
      </w:r>
    </w:p>
    <w:p>
      <w:pPr>
        <w:pStyle w:val="NormalIndent"/>
        <w:rPr>
          <w:sz w:val="20"/>
          <w:szCs w:val="20"/>
        </w:rPr>
      </w:pPr>
      <w:r>
        <w:rPr>
          <w:sz w:val="20"/>
          <w:szCs w:val="20"/>
        </w:rPr>
      </w:r>
    </w:p>
    <w:p>
      <w:pPr>
        <w:pStyle w:val="Normal"/>
        <w:rPr>
          <w:b/>
          <w:bCs/>
          <w:sz w:val="20"/>
          <w:szCs w:val="20"/>
        </w:rPr>
      </w:pPr>
      <w:r>
        <w:rPr>
          <w:b/>
          <w:bCs/>
          <w:sz w:val="20"/>
          <w:szCs w:val="20"/>
        </w:rPr>
        <w:t>Florida Gas Transmission Company</w:t>
      </w:r>
    </w:p>
    <w:p>
      <w:pPr>
        <w:pStyle w:val="NormalIndent"/>
        <w:rPr>
          <w:sz w:val="20"/>
          <w:szCs w:val="20"/>
        </w:rPr>
      </w:pPr>
      <w:r>
        <w:rPr>
          <w:sz w:val="20"/>
          <w:szCs w:val="20"/>
        </w:rPr>
        <w:t xml:space="preserve">1/24/00 - FGT filed new rates effective 3/1/00, per its Settlement, reflecting slightly lower FTS-2 rates.  </w:t>
      </w:r>
    </w:p>
    <w:p>
      <w:pPr>
        <w:pStyle w:val="NormalIndent"/>
        <w:rPr>
          <w:sz w:val="20"/>
          <w:szCs w:val="20"/>
        </w:rPr>
      </w:pPr>
      <w:r>
        <w:rPr>
          <w:sz w:val="20"/>
          <w:szCs w:val="20"/>
        </w:rPr>
      </w:r>
    </w:p>
    <w:p>
      <w:pPr>
        <w:pStyle w:val="NormalIndent"/>
        <w:rPr>
          <w:sz w:val="20"/>
          <w:szCs w:val="20"/>
        </w:rPr>
      </w:pPr>
      <w:r>
        <w:rPr>
          <w:sz w:val="20"/>
          <w:szCs w:val="20"/>
        </w:rPr>
        <w:t>1/31/00 - FGT filed new tariff sheets reflecting a fuel adjustment effective 2/1/00—the new fuel is 3%.</w:t>
      </w:r>
    </w:p>
    <w:p>
      <w:pPr>
        <w:pStyle w:val="NormalIndent"/>
        <w:rPr>
          <w:sz w:val="20"/>
          <w:szCs w:val="20"/>
        </w:rPr>
      </w:pPr>
      <w:r>
        <w:rPr>
          <w:sz w:val="20"/>
          <w:szCs w:val="20"/>
        </w:rPr>
      </w:r>
    </w:p>
    <w:p>
      <w:pPr>
        <w:pStyle w:val="Normal"/>
        <w:rPr>
          <w:b/>
          <w:bCs/>
          <w:sz w:val="20"/>
          <w:szCs w:val="20"/>
        </w:rPr>
      </w:pPr>
      <w:r>
        <w:rPr>
          <w:b/>
          <w:bCs/>
          <w:sz w:val="20"/>
          <w:szCs w:val="20"/>
        </w:rPr>
        <w:t>Great Lakes Gas Transmission Limited Partnership</w:t>
      </w:r>
    </w:p>
    <w:p>
      <w:pPr>
        <w:pStyle w:val="NormalIndent"/>
        <w:rPr>
          <w:sz w:val="20"/>
          <w:szCs w:val="20"/>
        </w:rPr>
      </w:pPr>
      <w:r>
        <w:rPr>
          <w:sz w:val="20"/>
          <w:szCs w:val="20"/>
        </w:rPr>
        <w:t>1/27/00 - FERC approved Limited Firm Transportation Service, subject to conditions.  GL must provide at least 3.5 hours notice if unavailable, and must either establish a uniform number of days per month that the service can be unavailable or must file each LFT contract.</w:t>
      </w:r>
      <w:r>
        <w:br w:type="page"/>
      </w:r>
    </w:p>
    <w:p>
      <w:pPr>
        <w:pStyle w:val="NormalIndent"/>
        <w:rPr>
          <w:sz w:val="20"/>
          <w:szCs w:val="20"/>
        </w:rPr>
      </w:pPr>
      <w:r>
        <w:rPr>
          <w:sz w:val="20"/>
          <w:szCs w:val="20"/>
        </w:rPr>
      </w:r>
    </w:p>
    <w:p>
      <w:pPr>
        <w:pStyle w:val="Normal"/>
        <w:rPr>
          <w:b/>
          <w:bCs/>
          <w:sz w:val="20"/>
          <w:szCs w:val="20"/>
        </w:rPr>
      </w:pPr>
      <w:r>
        <w:rPr>
          <w:b/>
          <w:bCs/>
          <w:sz w:val="20"/>
          <w:szCs w:val="20"/>
        </w:rPr>
        <w:t>Kern River Gas Transmission Company</w:t>
      </w:r>
    </w:p>
    <w:p>
      <w:pPr>
        <w:pStyle w:val="NormalIndent"/>
        <w:rPr>
          <w:sz w:val="20"/>
          <w:szCs w:val="20"/>
        </w:rPr>
      </w:pPr>
      <w:r>
        <w:rPr>
          <w:sz w:val="20"/>
          <w:szCs w:val="20"/>
        </w:rPr>
        <w:t>1/13/00 - Kern filed provisions to allow the netting and trading of imbalances</w:t>
      </w:r>
    </w:p>
    <w:p>
      <w:pPr>
        <w:pStyle w:val="NormalIndent"/>
        <w:rPr>
          <w:sz w:val="20"/>
          <w:szCs w:val="20"/>
        </w:rPr>
      </w:pPr>
      <w:r>
        <w:rPr>
          <w:sz w:val="20"/>
          <w:szCs w:val="20"/>
        </w:rPr>
      </w:r>
    </w:p>
    <w:p>
      <w:pPr>
        <w:pStyle w:val="NormalIndent"/>
        <w:rPr>
          <w:sz w:val="20"/>
          <w:szCs w:val="20"/>
        </w:rPr>
      </w:pPr>
      <w:r>
        <w:rPr>
          <w:sz w:val="20"/>
          <w:szCs w:val="20"/>
        </w:rPr>
        <w:t>1/28/00 - FERC accepted Kern’s negotiated rate proposal with some minor changes.  It also accepted its proposal on certain types of discounts that would not have to be filed as non-conforming.</w:t>
      </w:r>
    </w:p>
    <w:p>
      <w:pPr>
        <w:pStyle w:val="NormalIndent"/>
        <w:rPr>
          <w:sz w:val="20"/>
          <w:szCs w:val="20"/>
        </w:rPr>
      </w:pPr>
      <w:r>
        <w:rPr>
          <w:sz w:val="20"/>
          <w:szCs w:val="20"/>
        </w:rPr>
      </w:r>
    </w:p>
    <w:p>
      <w:pPr>
        <w:pStyle w:val="NormalIndent"/>
        <w:rPr>
          <w:sz w:val="20"/>
          <w:szCs w:val="20"/>
        </w:rPr>
      </w:pPr>
      <w:r>
        <w:rPr>
          <w:sz w:val="20"/>
          <w:szCs w:val="20"/>
        </w:rPr>
        <w:t>2/9/00 - Kern’s March 31, 1999 settlement was approved for all parties except Sempra, who is pushing for a change in Kern’s postage stamp rate to a 3 zone rate system.  They will be able to litigate this separately.</w:t>
      </w:r>
    </w:p>
    <w:p>
      <w:pPr>
        <w:pStyle w:val="NormalIndent"/>
        <w:rPr>
          <w:sz w:val="20"/>
          <w:szCs w:val="20"/>
        </w:rPr>
      </w:pPr>
      <w:r>
        <w:rPr>
          <w:sz w:val="20"/>
          <w:szCs w:val="20"/>
        </w:rPr>
      </w:r>
    </w:p>
    <w:p>
      <w:pPr>
        <w:pStyle w:val="Normal"/>
        <w:rPr>
          <w:b/>
          <w:bCs/>
          <w:sz w:val="20"/>
          <w:szCs w:val="20"/>
        </w:rPr>
      </w:pPr>
      <w:r>
        <w:rPr>
          <w:b/>
          <w:bCs/>
          <w:sz w:val="20"/>
          <w:szCs w:val="20"/>
        </w:rPr>
        <w:t>Koch Gateway Pipeline Company</w:t>
      </w:r>
    </w:p>
    <w:p>
      <w:pPr>
        <w:pStyle w:val="NormalIndent"/>
        <w:rPr>
          <w:sz w:val="20"/>
          <w:szCs w:val="20"/>
        </w:rPr>
      </w:pPr>
      <w:r>
        <w:rPr>
          <w:sz w:val="20"/>
          <w:szCs w:val="20"/>
        </w:rPr>
        <w:t>1/31/00 - Koch filed notice of several negotiated deals with Koch Energy Trading,.  They are park &amp; loan option deals where KET pays a fee for the right to put gas into a parking deal in February for redelivery in other months (see below).  If KET executes the option, they must notify Koch and share the spread (90% to Koch Pipeline; 10% to KET) between the February price and the April price.  They can unwind and re-set the spread at any time, but each time the spread is shared under the above formula. Following are the specifics on the deals:</w:t>
      </w:r>
    </w:p>
    <w:p>
      <w:pPr>
        <w:pStyle w:val="NormalIndent"/>
        <w:rPr>
          <w:sz w:val="20"/>
          <w:szCs w:val="20"/>
        </w:rPr>
      </w:pPr>
      <w:r>
        <w:rPr>
          <w:sz w:val="20"/>
          <w:szCs w:val="20"/>
        </w:rPr>
        <w:tab/>
        <w:t>$.01 on 2 Bcf—Park in Feb; receive in April</w:t>
      </w:r>
    </w:p>
    <w:p>
      <w:pPr>
        <w:pStyle w:val="NormalIndent"/>
        <w:rPr>
          <w:sz w:val="20"/>
          <w:szCs w:val="20"/>
        </w:rPr>
      </w:pPr>
      <w:r>
        <w:rPr>
          <w:sz w:val="20"/>
          <w:szCs w:val="20"/>
        </w:rPr>
        <w:tab/>
        <w:t>$.05 on 1 Bcf—park in Feb; receive in April</w:t>
      </w:r>
    </w:p>
    <w:p>
      <w:pPr>
        <w:pStyle w:val="NormalIndent"/>
        <w:rPr>
          <w:sz w:val="20"/>
          <w:szCs w:val="20"/>
        </w:rPr>
      </w:pPr>
      <w:r>
        <w:rPr>
          <w:sz w:val="20"/>
          <w:szCs w:val="20"/>
        </w:rPr>
        <w:tab/>
        <w:t>$.025 on 5 Bcf—park in February; receive in May</w:t>
      </w:r>
    </w:p>
    <w:p>
      <w:pPr>
        <w:pStyle w:val="NormalIndent"/>
        <w:rPr>
          <w:sz w:val="20"/>
          <w:szCs w:val="20"/>
        </w:rPr>
      </w:pPr>
      <w:r>
        <w:rPr>
          <w:sz w:val="20"/>
          <w:szCs w:val="20"/>
        </w:rPr>
        <w:tab/>
        <w:t>$.03 on 2 Bcf—park in February; receive in March</w:t>
      </w:r>
    </w:p>
    <w:p>
      <w:pPr>
        <w:pStyle w:val="NormalIndent"/>
        <w:rPr>
          <w:sz w:val="20"/>
          <w:szCs w:val="20"/>
        </w:rPr>
      </w:pPr>
      <w:r>
        <w:rPr>
          <w:sz w:val="20"/>
          <w:szCs w:val="20"/>
        </w:rPr>
      </w:r>
    </w:p>
    <w:p>
      <w:pPr>
        <w:pStyle w:val="NormalIndent"/>
        <w:rPr>
          <w:sz w:val="20"/>
          <w:szCs w:val="20"/>
        </w:rPr>
      </w:pPr>
      <w:r>
        <w:rPr>
          <w:sz w:val="20"/>
          <w:szCs w:val="20"/>
        </w:rPr>
        <w:t>2/3/00 - FERC approved the Prichard Loop, which will provide an additional 15,000/d to Alabama Power Company’s Plant Barry through Bay Gas Storage Company’s intrastate pipeline.</w:t>
      </w:r>
    </w:p>
    <w:p>
      <w:pPr>
        <w:pStyle w:val="NormalIndent"/>
        <w:rPr>
          <w:sz w:val="20"/>
          <w:szCs w:val="20"/>
        </w:rPr>
      </w:pPr>
      <w:r>
        <w:rPr>
          <w:sz w:val="20"/>
          <w:szCs w:val="20"/>
        </w:rPr>
      </w:r>
    </w:p>
    <w:p>
      <w:pPr>
        <w:pStyle w:val="Normal"/>
        <w:rPr>
          <w:b/>
          <w:bCs/>
          <w:sz w:val="20"/>
          <w:szCs w:val="20"/>
        </w:rPr>
      </w:pPr>
      <w:r>
        <w:rPr>
          <w:b/>
          <w:bCs/>
          <w:sz w:val="20"/>
          <w:szCs w:val="20"/>
        </w:rPr>
        <w:t>Natural Gas Pipeline Company of America</w:t>
      </w:r>
    </w:p>
    <w:p>
      <w:pPr>
        <w:pStyle w:val="NormalIndent"/>
        <w:rPr>
          <w:sz w:val="20"/>
          <w:szCs w:val="20"/>
        </w:rPr>
      </w:pPr>
      <w:r>
        <w:rPr>
          <w:sz w:val="20"/>
          <w:szCs w:val="20"/>
        </w:rPr>
        <w:t>2/1/00 - NGPL filed a new service proposal for Firm Reverse Storage Service.  This would allow no notice summer withdrawals (May 15 to Sept 30) with corresponding injections in the following winter (Dec 1 through Feb 28)—designed primarily for electric generation markets.</w:t>
      </w:r>
    </w:p>
    <w:p>
      <w:pPr>
        <w:pStyle w:val="NormalIndent"/>
        <w:rPr>
          <w:sz w:val="20"/>
          <w:szCs w:val="20"/>
        </w:rPr>
      </w:pPr>
      <w:r>
        <w:rPr>
          <w:sz w:val="20"/>
          <w:szCs w:val="20"/>
        </w:rPr>
      </w:r>
    </w:p>
    <w:p>
      <w:pPr>
        <w:pStyle w:val="NormalIndent"/>
        <w:rPr>
          <w:sz w:val="20"/>
          <w:szCs w:val="20"/>
        </w:rPr>
      </w:pPr>
      <w:r>
        <w:rPr>
          <w:sz w:val="20"/>
          <w:szCs w:val="20"/>
        </w:rPr>
        <w:t>1/14/00 - NGPL removed its reserve price condition on negotiated rates, per FERC Order.</w:t>
      </w:r>
    </w:p>
    <w:p>
      <w:pPr>
        <w:pStyle w:val="NormalIndent"/>
        <w:rPr>
          <w:sz w:val="20"/>
          <w:szCs w:val="20"/>
        </w:rPr>
      </w:pPr>
      <w:r>
        <w:rPr>
          <w:sz w:val="20"/>
          <w:szCs w:val="20"/>
        </w:rPr>
      </w:r>
    </w:p>
    <w:p>
      <w:pPr>
        <w:pStyle w:val="NormalIndent"/>
        <w:rPr>
          <w:sz w:val="20"/>
          <w:szCs w:val="20"/>
        </w:rPr>
      </w:pPr>
      <w:r>
        <w:rPr>
          <w:sz w:val="20"/>
          <w:szCs w:val="20"/>
        </w:rPr>
        <w:t>2/1/00 - NGPL’s proposal on non-conforming gas is accepted except for references to third party facilities.</w:t>
      </w:r>
    </w:p>
    <w:p>
      <w:pPr>
        <w:pStyle w:val="NormalIndent"/>
        <w:rPr>
          <w:sz w:val="20"/>
          <w:szCs w:val="20"/>
        </w:rPr>
      </w:pPr>
      <w:r>
        <w:rPr>
          <w:sz w:val="20"/>
          <w:szCs w:val="20"/>
        </w:rPr>
      </w:r>
    </w:p>
    <w:p>
      <w:pPr>
        <w:pStyle w:val="Normal"/>
        <w:rPr>
          <w:b/>
          <w:bCs/>
          <w:sz w:val="20"/>
          <w:szCs w:val="20"/>
        </w:rPr>
      </w:pPr>
      <w:r>
        <w:rPr>
          <w:b/>
          <w:bCs/>
          <w:sz w:val="20"/>
          <w:szCs w:val="20"/>
        </w:rPr>
        <w:t>Northern Natural Gas Company</w:t>
      </w:r>
    </w:p>
    <w:p>
      <w:pPr>
        <w:pStyle w:val="NormalIndent"/>
        <w:rPr>
          <w:sz w:val="20"/>
          <w:szCs w:val="20"/>
        </w:rPr>
      </w:pPr>
      <w:r>
        <w:rPr>
          <w:sz w:val="20"/>
          <w:szCs w:val="20"/>
        </w:rPr>
        <w:t>1/27/00 - NNG’s request for index based discounts, including formulas, without having to file each as a negotiated rate agreement, was rejected by FERC.</w:t>
      </w:r>
    </w:p>
    <w:p>
      <w:pPr>
        <w:pStyle w:val="NormalIndent"/>
        <w:rPr>
          <w:sz w:val="20"/>
          <w:szCs w:val="20"/>
        </w:rPr>
      </w:pPr>
      <w:r>
        <w:rPr>
          <w:sz w:val="20"/>
          <w:szCs w:val="20"/>
        </w:rPr>
      </w:r>
    </w:p>
    <w:p>
      <w:pPr>
        <w:pStyle w:val="Normal"/>
        <w:rPr>
          <w:b/>
          <w:bCs/>
          <w:sz w:val="20"/>
          <w:szCs w:val="20"/>
        </w:rPr>
      </w:pPr>
      <w:r>
        <w:rPr>
          <w:b/>
          <w:bCs/>
          <w:sz w:val="20"/>
          <w:szCs w:val="20"/>
        </w:rPr>
        <w:t>Panhandle Eastern Pipe Line Company</w:t>
      </w:r>
    </w:p>
    <w:p>
      <w:pPr>
        <w:pStyle w:val="NormalIndent"/>
        <w:rPr>
          <w:sz w:val="20"/>
          <w:szCs w:val="20"/>
        </w:rPr>
      </w:pPr>
      <w:r>
        <w:rPr>
          <w:sz w:val="20"/>
          <w:szCs w:val="20"/>
        </w:rPr>
        <w:t>2/9/00 - PEPL’s Hourly Firm service is approved effective 7/10/00, subject to refund and certain conditions.  PEPL must file more info on hourly overrun charges, the restriction of only one HFT shipper at each delivery point, revenue and cost workpapers, and they must change their capacity release minimum from one day to one hour.</w:t>
      </w:r>
    </w:p>
    <w:p>
      <w:pPr>
        <w:pStyle w:val="NormalIndent"/>
        <w:rPr>
          <w:sz w:val="20"/>
          <w:szCs w:val="20"/>
        </w:rPr>
      </w:pPr>
      <w:r>
        <w:rPr>
          <w:sz w:val="20"/>
          <w:szCs w:val="20"/>
        </w:rPr>
      </w:r>
    </w:p>
    <w:p>
      <w:pPr>
        <w:pStyle w:val="Normal"/>
        <w:rPr>
          <w:b/>
          <w:bCs/>
          <w:sz w:val="20"/>
          <w:szCs w:val="20"/>
        </w:rPr>
      </w:pPr>
      <w:r>
        <w:rPr>
          <w:b/>
          <w:bCs/>
          <w:sz w:val="20"/>
          <w:szCs w:val="20"/>
        </w:rPr>
        <w:t>Questar Pipeline Company</w:t>
      </w:r>
    </w:p>
    <w:p>
      <w:pPr>
        <w:pStyle w:val="NormalIndent"/>
        <w:rPr>
          <w:sz w:val="20"/>
          <w:szCs w:val="20"/>
        </w:rPr>
      </w:pPr>
      <w:r>
        <w:rPr>
          <w:sz w:val="20"/>
          <w:szCs w:val="20"/>
        </w:rPr>
        <w:t>1/18/00 - Questar filed for approval for looping and increased compression in order to increase capacity on its southern system by 272,000/d, to gain access to increasing reserves of coal seam gas.</w:t>
      </w:r>
    </w:p>
    <w:p>
      <w:pPr>
        <w:pStyle w:val="NormalIndent"/>
        <w:rPr>
          <w:sz w:val="20"/>
          <w:szCs w:val="20"/>
        </w:rPr>
      </w:pPr>
      <w:r>
        <w:rPr>
          <w:sz w:val="20"/>
          <w:szCs w:val="20"/>
        </w:rPr>
      </w:r>
    </w:p>
    <w:p>
      <w:pPr>
        <w:pStyle w:val="Normal"/>
        <w:rPr>
          <w:b/>
          <w:bCs/>
          <w:sz w:val="20"/>
          <w:szCs w:val="20"/>
        </w:rPr>
      </w:pPr>
      <w:r>
        <w:rPr>
          <w:b/>
          <w:bCs/>
          <w:sz w:val="20"/>
          <w:szCs w:val="20"/>
        </w:rPr>
        <w:t>Southern Natural Gas Company</w:t>
      </w:r>
    </w:p>
    <w:p>
      <w:pPr>
        <w:pStyle w:val="NormalIndent"/>
        <w:rPr>
          <w:sz w:val="20"/>
          <w:szCs w:val="20"/>
        </w:rPr>
      </w:pPr>
      <w:r>
        <w:rPr>
          <w:sz w:val="20"/>
          <w:szCs w:val="20"/>
        </w:rPr>
        <w:t>Southern filed its required report on Type 6 OFO procedures and status during 1999.  They indicated that, since implementing the new procedures requiring the Friday posting of OFO expected status , that no Type 6 OFO’s have been required.</w:t>
      </w:r>
    </w:p>
    <w:p>
      <w:pPr>
        <w:pStyle w:val="NormalIndent"/>
        <w:rPr>
          <w:sz w:val="20"/>
          <w:szCs w:val="20"/>
        </w:rPr>
      </w:pPr>
      <w:r>
        <w:rPr>
          <w:sz w:val="20"/>
          <w:szCs w:val="20"/>
        </w:rPr>
      </w:r>
    </w:p>
    <w:p>
      <w:pPr>
        <w:pStyle w:val="Normal"/>
        <w:rPr>
          <w:b/>
          <w:bCs/>
          <w:sz w:val="20"/>
          <w:szCs w:val="20"/>
        </w:rPr>
      </w:pPr>
      <w:r>
        <w:rPr>
          <w:b/>
          <w:bCs/>
          <w:sz w:val="20"/>
          <w:szCs w:val="20"/>
        </w:rPr>
        <w:t>Texas Gas Transmission</w:t>
      </w:r>
    </w:p>
    <w:p>
      <w:pPr>
        <w:pStyle w:val="NormalIndent"/>
        <w:rPr>
          <w:sz w:val="20"/>
          <w:szCs w:val="20"/>
        </w:rPr>
      </w:pPr>
      <w:r>
        <w:rPr>
          <w:sz w:val="20"/>
          <w:szCs w:val="20"/>
        </w:rPr>
        <w:t>2/2/00 - TGT filed new tariff sheets reflecting slight decreases in transportation rates resulting from the termination of ANR HIOS agreement effective 3/1/00.  The decreases are as follows:  NNS and FT demand rates ($.0025); NNS and FT commodity rates ($.0009), SGT rates ($.0059) and IT rates ($.0034).</w:t>
      </w:r>
      <w:r>
        <w:br w:type="page"/>
      </w:r>
    </w:p>
    <w:p>
      <w:pPr>
        <w:pStyle w:val="Normal"/>
        <w:rPr>
          <w:sz w:val="20"/>
          <w:szCs w:val="20"/>
        </w:rPr>
      </w:pPr>
      <w:r>
        <w:rPr>
          <w:sz w:val="20"/>
          <w:szCs w:val="20"/>
        </w:rPr>
      </w:r>
    </w:p>
    <w:p>
      <w:pPr>
        <w:pStyle w:val="Normal"/>
        <w:rPr>
          <w:b/>
          <w:bCs/>
          <w:sz w:val="20"/>
          <w:szCs w:val="20"/>
        </w:rPr>
      </w:pPr>
      <w:r>
        <w:rPr>
          <w:b/>
          <w:bCs/>
          <w:sz w:val="20"/>
          <w:szCs w:val="20"/>
        </w:rPr>
        <w:t>TriState Pipeline</w:t>
      </w:r>
    </w:p>
    <w:p>
      <w:pPr>
        <w:pStyle w:val="NormalIndent"/>
        <w:rPr>
          <w:sz w:val="20"/>
          <w:szCs w:val="20"/>
        </w:rPr>
      </w:pPr>
      <w:r>
        <w:rPr>
          <w:sz w:val="20"/>
          <w:szCs w:val="20"/>
        </w:rPr>
        <w:t>1/18/00 - TriState filed for approval to construct pipelines enabling it to transport gas between the Chicago Hub and Dawn Hub and to markets in Michigan through various loops on existing facilities and additional compression.</w:t>
      </w:r>
    </w:p>
    <w:p>
      <w:pPr>
        <w:pStyle w:val="NormalIndent"/>
        <w:rPr>
          <w:sz w:val="20"/>
          <w:szCs w:val="20"/>
        </w:rPr>
      </w:pPr>
      <w:r>
        <w:rPr>
          <w:sz w:val="20"/>
          <w:szCs w:val="20"/>
        </w:rPr>
      </w:r>
    </w:p>
    <w:p>
      <w:pPr>
        <w:pStyle w:val="Normal"/>
        <w:rPr>
          <w:b/>
          <w:bCs/>
          <w:sz w:val="20"/>
          <w:szCs w:val="20"/>
        </w:rPr>
      </w:pPr>
      <w:r>
        <w:rPr>
          <w:b/>
          <w:bCs/>
          <w:sz w:val="20"/>
          <w:szCs w:val="20"/>
        </w:rPr>
        <w:t>Williams Gas Pipelines Central, Inc.</w:t>
      </w:r>
    </w:p>
    <w:p>
      <w:pPr>
        <w:pStyle w:val="NormalIndent"/>
        <w:rPr>
          <w:sz w:val="20"/>
          <w:szCs w:val="20"/>
        </w:rPr>
      </w:pPr>
      <w:r>
        <w:rPr>
          <w:sz w:val="20"/>
          <w:szCs w:val="20"/>
        </w:rPr>
        <w:t>1/18/00 - Williams reduced its production area fuel rate from 1.42% to 1.35% effective 1/1/00.</w:t>
      </w:r>
    </w:p>
    <w:p>
      <w:pPr>
        <w:pStyle w:val="NormalIndent"/>
        <w:rPr>
          <w:sz w:val="20"/>
          <w:szCs w:val="20"/>
        </w:rPr>
      </w:pPr>
      <w:r>
        <w:rPr>
          <w:sz w:val="20"/>
          <w:szCs w:val="20"/>
        </w:rPr>
      </w:r>
    </w:p>
    <w:p>
      <w:pPr>
        <w:pStyle w:val="Normal"/>
        <w:rPr>
          <w:b/>
          <w:bCs/>
          <w:sz w:val="20"/>
          <w:szCs w:val="20"/>
        </w:rPr>
      </w:pPr>
      <w:r>
        <w:rPr>
          <w:b/>
          <w:bCs/>
          <w:sz w:val="20"/>
          <w:szCs w:val="20"/>
        </w:rPr>
        <w:t>Williston Basin Interstate Pipeline Company</w:t>
      </w:r>
    </w:p>
    <w:p>
      <w:pPr>
        <w:pStyle w:val="NormalIndent"/>
        <w:rPr>
          <w:sz w:val="20"/>
          <w:szCs w:val="20"/>
        </w:rPr>
      </w:pPr>
      <w:r>
        <w:rPr>
          <w:sz w:val="20"/>
          <w:szCs w:val="20"/>
        </w:rPr>
        <w:t>WB filed a request to implement GSR surcharges effective 2/1/00.  The charges would consist of a reservation charge surcharge of 43.714 cents per dth on FT service and .441 cents per dth unit rate on IT service.</w:t>
      </w:r>
    </w:p>
    <w:p>
      <w:pPr>
        <w:pStyle w:val="NormalIndent"/>
        <w:rPr/>
      </w:pPr>
      <w:r>
        <w:rPr/>
      </w:r>
    </w:p>
    <w:p>
      <w:pPr>
        <w:pStyle w:val="NormalIndent"/>
        <w:rPr/>
      </w:pPr>
      <w:r>
        <w:rPr/>
      </w:r>
    </w:p>
    <w:p>
      <w:pPr>
        <w:pStyle w:val="NormalIndent"/>
        <w:rPr/>
      </w:pPr>
      <w:r>
        <w:rPr/>
      </w:r>
    </w:p>
    <w:sectPr>
      <w:headerReference w:type="default" r:id="rId3"/>
      <w:headerReference w:type="first" r:id="rId4"/>
      <w:footerReference w:type="default" r:id="rId5"/>
      <w:footerReference w:type="first" r:id="rId6"/>
      <w:type w:val="nextPage"/>
      <w:pgSz w:w="12240" w:h="15840"/>
      <w:pgMar w:left="720" w:right="720" w:gutter="0" w:header="720" w:top="1170"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CG Times (W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szCs w:val="16"/>
      </w:rPr>
    </w:pPr>
    <w:r>
      <w:rPr>
        <w:b/>
        <w:bCs/>
        <w:sz w:val="16"/>
        <w:szCs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widowControl/>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-360045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35pt;mso-position-vertical-relative:text;margin-left:201.3pt;mso-position-horizontal-relative:page">
              <v:fill opacity="0f"/>
              <v:textbox inset="0in,0in,0in,0in">
                <w:txbxContent>
                  <w:p>
                    <w:pPr>
                      <w:pStyle w:val="Normal"/>
                      <w:widowContro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eastAsia="Times New Roman" w:cs="Times New Roman"/>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eastAsia="Times New Roman" w:cs="Times New Roman"/>
      <w:b/>
      <w:bCs/>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paragraph" w:styleId="Heading4">
    <w:name w:val="heading 4"/>
    <w:basedOn w:val="Normal"/>
    <w:next w:val="Normal"/>
    <w:qFormat/>
    <w:pPr>
      <w:keepNext w:val="true"/>
      <w:numPr>
        <w:ilvl w:val="3"/>
        <w:numId w:val="1"/>
      </w:numPr>
      <w:tabs>
        <w:tab w:val="clear" w:pos="540"/>
      </w:tabs>
      <w:ind w:hanging="720" w:start="720" w:end="0"/>
      <w:outlineLvl w:val="3"/>
    </w:pPr>
    <w:rPr>
      <w:rFonts w:ascii="Times New Roman" w:hAnsi="Times New Roman" w:eastAsia="Times New Roman" w:cs="Times New Roman"/>
    </w:rPr>
  </w:style>
  <w:style w:type="paragraph" w:styleId="Heading5">
    <w:name w:val="heading 5"/>
    <w:basedOn w:val="Normal"/>
    <w:next w:val="Normal"/>
    <w:qFormat/>
    <w:pPr>
      <w:keepNext w:val="true"/>
      <w:numPr>
        <w:ilvl w:val="4"/>
        <w:numId w:val="1"/>
      </w:numPr>
      <w:tabs>
        <w:tab w:val="clear" w:pos="540"/>
      </w:tabs>
      <w:ind w:hanging="1440" w:start="1440" w:end="0"/>
      <w:outlineLvl w:val="4"/>
    </w:pPr>
    <w:rPr>
      <w:rFonts w:ascii="Times New Roman" w:hAnsi="Times New Roman" w:eastAsia="Times New Roman" w:cs="Times New Roman"/>
    </w:rPr>
  </w:style>
  <w:style w:type="paragraph" w:styleId="Heading6">
    <w:name w:val="heading 6"/>
    <w:basedOn w:val="Normal"/>
    <w:next w:val="Normal"/>
    <w:qFormat/>
    <w:pPr>
      <w:keepNext w:val="true"/>
      <w:numPr>
        <w:ilvl w:val="5"/>
        <w:numId w:val="1"/>
      </w:numPr>
      <w:tabs>
        <w:tab w:val="clear" w:pos="540"/>
      </w:tabs>
      <w:ind w:hanging="1530" w:start="1440" w:end="0"/>
      <w:outlineLvl w:val="5"/>
    </w:pPr>
    <w:rPr>
      <w:rFonts w:ascii="Times New Roman" w:hAnsi="Times New Roman" w:eastAsia="Times New Roman" w:cs="Times New Roman"/>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tabs>
        <w:tab w:val="clear" w:pos="540"/>
      </w:tabs>
    </w:pPr>
    <w:rPr>
      <w:rFonts w:ascii="Times New Roman" w:hAnsi="Times New Roman" w:eastAsia="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BodyTextIndent">
    <w:name w:val="Body Text Indent"/>
    <w:basedOn w:val="Normal"/>
    <w:pPr>
      <w:tabs>
        <w:tab w:val="clear" w:pos="540"/>
      </w:tabs>
      <w:ind w:hanging="720" w:start="720" w:end="0"/>
    </w:pPr>
    <w:rPr>
      <w:rFonts w:ascii="Times New Roman" w:hAnsi="Times New Roman" w:eastAsia="Times New Roman" w:cs="Times New Roman"/>
    </w:rPr>
  </w:style>
  <w:style w:type="paragraph" w:styleId="BodyTextIndent2">
    <w:name w:val="Body Text Indent 2"/>
    <w:basedOn w:val="Normal"/>
    <w:qFormat/>
    <w:pPr>
      <w:tabs>
        <w:tab w:val="clear" w:pos="540"/>
      </w:tabs>
      <w:ind w:hanging="0" w:start="720" w:end="0"/>
    </w:pPr>
    <w:rPr>
      <w:rFonts w:ascii="Times New Roman" w:hAnsi="Times New Roman" w:eastAsia="Times New Roman" w:cs="Times New Roman"/>
    </w:rPr>
  </w:style>
  <w:style w:type="paragraph" w:styleId="BodyTextIndent3">
    <w:name w:val="Body Text Indent 3"/>
    <w:basedOn w:val="Normal"/>
    <w:qFormat/>
    <w:pPr>
      <w:ind w:hanging="720" w:start="720" w:end="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2000-02-18T14:32:00Z</dcterms:created>
  <dc:creator>ECT</dc:creator>
  <dc:description/>
  <dc:language>en-CA</dc:language>
  <cp:lastModifiedBy>ECT</cp:lastModifiedBy>
  <cp:lastPrinted>2000-02-18T11:11:00Z</cp:lastPrinted>
  <dcterms:modified xsi:type="dcterms:W3CDTF">2000-02-18T14:41:00Z</dcterms:modified>
  <cp:revision>4</cp:revision>
  <dc:subject>Regulatory Filing Summary</dc:subject>
  <dc:title>Eron Capital &amp; Trade Resources Memo</dc:title>
</cp:coreProperties>
</file>