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widowControl/>
        <w:rPr>
          <w:sz w:val="20"/>
          <w:szCs w:val="20"/>
        </w:rPr>
      </w:pPr>
      <w:r>
        <w:rPr>
          <w:sz w:val="20"/>
          <w:szCs w:val="20"/>
        </w:rPr>
      </w:r>
    </w:p>
    <w:tbl>
      <w:tblPr>
        <w:tblW w:w="11233" w:type="dxa"/>
        <w:jc w:val="start"/>
        <w:tblInd w:w="200" w:type="dxa"/>
        <w:tblLayout w:type="fixed"/>
        <w:tblCellMar>
          <w:top w:w="0" w:type="dxa"/>
          <w:start w:w="108" w:type="dxa"/>
          <w:bottom w:w="0" w:type="dxa"/>
          <w:end w:w="108" w:type="dxa"/>
        </w:tblCellMar>
      </w:tblPr>
      <w:tblGrid>
        <w:gridCol w:w="898"/>
        <w:gridCol w:w="6210"/>
        <w:gridCol w:w="1425"/>
        <w:gridCol w:w="2700"/>
      </w:tblGrid>
      <w:tr>
        <w:trPr>
          <w:trHeight w:val="1134" w:hRule="exact"/>
        </w:trPr>
        <w:tc>
          <w:tcPr>
            <w:tcW w:w="898" w:type="dxa"/>
            <w:tcBorders/>
          </w:tcPr>
          <w:p>
            <w:pPr>
              <w:pStyle w:val="Normal"/>
              <w:widowControl/>
              <w:ind w:start="-180" w:end="0"/>
              <w:jc w:val="end"/>
              <w:rPr>
                <w:sz w:val="20"/>
                <w:szCs w:val="20"/>
              </w:rPr>
            </w:pPr>
            <w:r>
              <w:rPr>
                <w:sz w:val="20"/>
                <w:szCs w:val="20"/>
              </w:rPr>
              <w:t>To:</w:t>
            </w:r>
          </w:p>
        </w:tc>
        <w:tc>
          <w:tcPr>
            <w:tcW w:w="6210" w:type="dxa"/>
            <w:tcBorders/>
          </w:tcPr>
          <w:p>
            <w:pPr>
              <w:pStyle w:val="To"/>
              <w:widowControl/>
              <w:ind w:end="-643"/>
              <w:rPr/>
            </w:pPr>
            <w:r>
              <w:rPr/>
              <w:t>Distribution</w:t>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216" w:hRule="exact"/>
        </w:trPr>
        <w:tc>
          <w:tcPr>
            <w:tcW w:w="898" w:type="dxa"/>
            <w:tcBorders/>
          </w:tcPr>
          <w:p>
            <w:pPr>
              <w:pStyle w:val="Normal"/>
              <w:widowControl/>
              <w:snapToGrid w:val="false"/>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300" w:hRule="exact"/>
        </w:trPr>
        <w:tc>
          <w:tcPr>
            <w:tcW w:w="898" w:type="dxa"/>
            <w:tcBorders/>
          </w:tcPr>
          <w:p>
            <w:pPr>
              <w:pStyle w:val="Normal"/>
              <w:widowControl/>
              <w:ind w:start="-180" w:end="0"/>
              <w:jc w:val="end"/>
              <w:rPr>
                <w:sz w:val="20"/>
                <w:szCs w:val="20"/>
              </w:rPr>
            </w:pPr>
            <w:r>
              <w:rPr>
                <w:sz w:val="20"/>
                <w:szCs w:val="20"/>
              </w:rPr>
              <w:t>From:</w:t>
            </w:r>
          </w:p>
        </w:tc>
        <w:tc>
          <w:tcPr>
            <w:tcW w:w="6210" w:type="dxa"/>
            <w:tcBorders/>
          </w:tcPr>
          <w:p>
            <w:pPr>
              <w:pStyle w:val="From"/>
              <w:widowControl/>
              <w:ind w:end="-643"/>
              <w:rPr/>
            </w:pPr>
            <w:r>
              <w:rPr/>
              <w:t>Colleen Sullivan</w:t>
            </w:r>
          </w:p>
        </w:tc>
        <w:tc>
          <w:tcPr>
            <w:tcW w:w="1425" w:type="dxa"/>
            <w:tcBorders/>
          </w:tcPr>
          <w:p>
            <w:pPr>
              <w:pStyle w:val="Normal"/>
              <w:widowControl/>
              <w:ind w:start="-180" w:end="0"/>
              <w:jc w:val="end"/>
              <w:rPr>
                <w:sz w:val="20"/>
                <w:szCs w:val="20"/>
              </w:rPr>
            </w:pPr>
            <w:r>
              <w:rPr>
                <w:sz w:val="20"/>
                <w:szCs w:val="20"/>
              </w:rPr>
              <w:t>Department:</w:t>
            </w:r>
          </w:p>
        </w:tc>
        <w:tc>
          <w:tcPr>
            <w:tcW w:w="2700" w:type="dxa"/>
            <w:tcBorders/>
          </w:tcPr>
          <w:p>
            <w:pPr>
              <w:pStyle w:val="Department"/>
              <w:widowControl/>
              <w:rPr/>
            </w:pPr>
            <w:bookmarkStart w:id="0" w:name="From"/>
            <w:bookmarkEnd w:id="0"/>
            <w:r>
              <w:rPr/>
              <w:t>ENA</w:t>
            </w:r>
          </w:p>
        </w:tc>
      </w:tr>
      <w:tr>
        <w:trPr>
          <w:trHeight w:val="216" w:hRule="exact"/>
        </w:trPr>
        <w:tc>
          <w:tcPr>
            <w:tcW w:w="898" w:type="dxa"/>
            <w:tcBorders/>
          </w:tcPr>
          <w:p>
            <w:pPr>
              <w:pStyle w:val="Normal"/>
              <w:widowControl/>
              <w:snapToGrid w:val="false"/>
              <w:ind w:start="-180" w:end="0"/>
              <w:jc w:val="end"/>
              <w:rPr>
                <w:sz w:val="20"/>
                <w:szCs w:val="20"/>
              </w:rPr>
            </w:pPr>
            <w:r>
              <w:rPr>
                <w:sz w:val="20"/>
                <w:szCs w:val="20"/>
              </w:rPr>
            </w:r>
          </w:p>
        </w:tc>
        <w:tc>
          <w:tcPr>
            <w:tcW w:w="6210" w:type="dxa"/>
            <w:tcBorders/>
          </w:tcPr>
          <w:p>
            <w:pPr>
              <w:pStyle w:val="Normal"/>
              <w:widowControl/>
              <w:snapToGrid w:val="false"/>
              <w:ind w:end="-643"/>
              <w:rPr>
                <w:sz w:val="20"/>
                <w:szCs w:val="20"/>
              </w:rPr>
            </w:pPr>
            <w:r>
              <w:rPr>
                <w:sz w:val="20"/>
                <w:szCs w:val="20"/>
              </w:rPr>
            </w:r>
          </w:p>
        </w:tc>
        <w:tc>
          <w:tcPr>
            <w:tcW w:w="1425" w:type="dxa"/>
            <w:tcBorders/>
          </w:tcPr>
          <w:p>
            <w:pPr>
              <w:pStyle w:val="Normal"/>
              <w:widowControl/>
              <w:snapToGrid w:val="false"/>
              <w:ind w:start="-180" w:end="0"/>
              <w:rPr>
                <w:sz w:val="20"/>
                <w:szCs w:val="20"/>
              </w:rPr>
            </w:pPr>
            <w:r>
              <w:rPr>
                <w:sz w:val="20"/>
                <w:szCs w:val="20"/>
              </w:rPr>
            </w:r>
          </w:p>
        </w:tc>
        <w:tc>
          <w:tcPr>
            <w:tcW w:w="2700" w:type="dxa"/>
            <w:tcBorders/>
          </w:tcPr>
          <w:p>
            <w:pPr>
              <w:pStyle w:val="Normal"/>
              <w:widowControl/>
              <w:snapToGrid w:val="false"/>
              <w:rPr>
                <w:sz w:val="20"/>
                <w:szCs w:val="20"/>
              </w:rPr>
            </w:pPr>
            <w:r>
              <w:rPr>
                <w:sz w:val="20"/>
                <w:szCs w:val="20"/>
              </w:rPr>
            </w:r>
          </w:p>
        </w:tc>
      </w:tr>
      <w:tr>
        <w:trPr>
          <w:trHeight w:val="495" w:hRule="exact"/>
        </w:trPr>
        <w:tc>
          <w:tcPr>
            <w:tcW w:w="898" w:type="dxa"/>
            <w:tcBorders>
              <w:bottom w:val="single" w:sz="12" w:space="0" w:color="000000"/>
            </w:tcBorders>
          </w:tcPr>
          <w:p>
            <w:pPr>
              <w:pStyle w:val="Normal"/>
              <w:widowControl/>
              <w:ind w:start="-180" w:end="0"/>
              <w:jc w:val="end"/>
              <w:rPr>
                <w:sz w:val="20"/>
                <w:szCs w:val="20"/>
              </w:rPr>
            </w:pPr>
            <w:r>
              <w:rPr>
                <w:sz w:val="20"/>
                <w:szCs w:val="20"/>
              </w:rPr>
              <w:t>Subject:</w:t>
            </w:r>
          </w:p>
        </w:tc>
        <w:tc>
          <w:tcPr>
            <w:tcW w:w="6210" w:type="dxa"/>
            <w:tcBorders>
              <w:bottom w:val="single" w:sz="12" w:space="0" w:color="000000"/>
            </w:tcBorders>
          </w:tcPr>
          <w:p>
            <w:pPr>
              <w:pStyle w:val="Subject"/>
              <w:widowControl/>
              <w:ind w:end="-643"/>
              <w:rPr/>
            </w:pPr>
            <w:r>
              <w:rPr/>
              <w:t>Regulatory Filing Summary</w:t>
            </w:r>
          </w:p>
        </w:tc>
        <w:tc>
          <w:tcPr>
            <w:tcW w:w="1425" w:type="dxa"/>
            <w:tcBorders>
              <w:bottom w:val="single" w:sz="12" w:space="0" w:color="000000"/>
            </w:tcBorders>
          </w:tcPr>
          <w:p>
            <w:pPr>
              <w:pStyle w:val="Normal"/>
              <w:widowControl/>
              <w:ind w:start="-180" w:end="0"/>
              <w:jc w:val="end"/>
              <w:rPr>
                <w:sz w:val="20"/>
                <w:szCs w:val="20"/>
              </w:rPr>
            </w:pPr>
            <w:r>
              <w:rPr>
                <w:sz w:val="20"/>
                <w:szCs w:val="20"/>
              </w:rPr>
              <w:t>Date:</w:t>
            </w:r>
          </w:p>
        </w:tc>
        <w:tc>
          <w:tcPr>
            <w:tcW w:w="2700" w:type="dxa"/>
            <w:tcBorders>
              <w:bottom w:val="single" w:sz="12" w:space="0" w:color="000000"/>
            </w:tcBorders>
          </w:tcPr>
          <w:p>
            <w:pPr>
              <w:pStyle w:val="Date"/>
              <w:widowControl/>
              <w:rPr/>
            </w:pPr>
            <w:r>
              <w:rPr/>
              <w:t>January 31, 2001</w:t>
            </w:r>
          </w:p>
        </w:tc>
      </w:tr>
    </w:tbl>
    <w:p>
      <w:pPr>
        <w:pStyle w:val="Body"/>
        <w:widowControl/>
        <w:rPr/>
      </w:pPr>
      <w:r>
        <w:rPr/>
      </w:r>
      <w:bookmarkStart w:id="1" w:name="StartOfMemo"/>
      <w:bookmarkStart w:id="2" w:name="StartOfMemo"/>
      <w:bookmarkEnd w:id="2"/>
    </w:p>
    <w:p>
      <w:pPr>
        <w:pStyle w:val="Normal"/>
        <w:rPr>
          <w:sz w:val="20"/>
          <w:szCs w:val="20"/>
        </w:rPr>
      </w:pPr>
      <w:r>
        <w:rPr>
          <w:sz w:val="20"/>
          <w:szCs w:val="20"/>
        </w:rPr>
        <w:t>Following is the regulatory update summary.   If you have any questions, please call me at x35514.</w:t>
      </w:r>
    </w:p>
    <w:p>
      <w:pPr>
        <w:pStyle w:val="NormalIndent"/>
        <w:rPr>
          <w:sz w:val="20"/>
          <w:szCs w:val="20"/>
        </w:rPr>
      </w:pPr>
      <w:r>
        <w:rPr/>
        <w:t xml:space="preserve"> </w:t>
      </w:r>
    </w:p>
    <w:p>
      <w:pPr>
        <w:pStyle w:val="Normal"/>
        <w:rPr>
          <w:b/>
          <w:bCs/>
          <w:color w:val="0000FF"/>
          <w:sz w:val="20"/>
          <w:szCs w:val="20"/>
          <w:u w:val="single"/>
        </w:rPr>
      </w:pPr>
      <w:r>
        <w:rPr>
          <w:b/>
          <w:bCs/>
          <w:color w:val="0000FF"/>
          <w:sz w:val="20"/>
          <w:szCs w:val="20"/>
          <w:u w:val="single"/>
        </w:rPr>
      </w:r>
    </w:p>
    <w:p>
      <w:pPr>
        <w:pStyle w:val="Normal"/>
        <w:rPr>
          <w:b/>
          <w:bCs/>
          <w:color w:val="0000FF"/>
          <w:sz w:val="20"/>
          <w:szCs w:val="20"/>
        </w:rPr>
      </w:pPr>
      <w:r>
        <w:rPr>
          <w:b/>
          <w:bCs/>
          <w:color w:val="0000FF"/>
          <w:sz w:val="20"/>
          <w:szCs w:val="20"/>
          <w:u w:val="single"/>
        </w:rPr>
        <w:t>EAST REGION</w:t>
      </w:r>
    </w:p>
    <w:p>
      <w:pPr>
        <w:pStyle w:val="Normal"/>
        <w:rPr>
          <w:b/>
          <w:bCs/>
          <w:color w:val="0000FF"/>
          <w:sz w:val="20"/>
          <w:szCs w:val="20"/>
        </w:rPr>
      </w:pPr>
      <w:r>
        <w:rPr>
          <w:b/>
          <w:bCs/>
          <w:color w:val="0000FF"/>
          <w:sz w:val="20"/>
          <w:szCs w:val="20"/>
        </w:rPr>
      </w:r>
    </w:p>
    <w:p>
      <w:pPr>
        <w:pStyle w:val="Normal"/>
        <w:rPr>
          <w:b/>
          <w:bCs/>
          <w:sz w:val="20"/>
          <w:szCs w:val="20"/>
        </w:rPr>
      </w:pPr>
      <w:r>
        <w:rPr>
          <w:b/>
          <w:bCs/>
          <w:sz w:val="20"/>
          <w:szCs w:val="20"/>
        </w:rPr>
        <w:t>Algonquin Gas Transmission Company</w:t>
      </w:r>
    </w:p>
    <w:p>
      <w:pPr>
        <w:pStyle w:val="NormalIndent"/>
        <w:rPr>
          <w:sz w:val="20"/>
          <w:szCs w:val="20"/>
        </w:rPr>
      </w:pPr>
      <w:r>
        <w:rPr>
          <w:sz w:val="20"/>
          <w:szCs w:val="20"/>
        </w:rPr>
        <w:t xml:space="preserve">1/24/01 - Algonquin filed notice of a revised executed service agreement with US GEN New England.  US GEN is taking permanent assignment of an agreement from New England Power for 120,000/d of space on the Brayton Point Lateral.  </w:t>
      </w:r>
    </w:p>
    <w:p>
      <w:pPr>
        <w:pStyle w:val="Normal"/>
        <w:rPr>
          <w:b/>
          <w:bCs/>
          <w:sz w:val="20"/>
          <w:szCs w:val="20"/>
        </w:rPr>
      </w:pPr>
      <w:r>
        <w:rPr>
          <w:b/>
          <w:bCs/>
          <w:sz w:val="20"/>
          <w:szCs w:val="20"/>
        </w:rPr>
      </w:r>
    </w:p>
    <w:p>
      <w:pPr>
        <w:pStyle w:val="Normal"/>
        <w:rPr>
          <w:b/>
          <w:bCs/>
          <w:sz w:val="20"/>
          <w:szCs w:val="20"/>
        </w:rPr>
      </w:pPr>
      <w:r>
        <w:rPr>
          <w:b/>
          <w:bCs/>
          <w:sz w:val="20"/>
          <w:szCs w:val="20"/>
        </w:rPr>
        <w:t>Columbia Gas Transmission Corporation</w:t>
      </w:r>
    </w:p>
    <w:p>
      <w:pPr>
        <w:pStyle w:val="NormalIndent"/>
        <w:rPr>
          <w:sz w:val="20"/>
          <w:szCs w:val="20"/>
        </w:rPr>
      </w:pPr>
      <w:r>
        <w:rPr>
          <w:sz w:val="20"/>
          <w:szCs w:val="20"/>
        </w:rPr>
        <w:t>1/12/01 – CGT filed tariff sheets reflecting the cancellation of two agreements: an exchange agreement between CGT and Transco; and an exchange and transportation agreement between CGT, Transco and CGulf for 15,000/d because they are no longer needed.  Columbia Gulf filed the same request (for the second agreement’s cancellation) simultaneously.</w:t>
      </w:r>
    </w:p>
    <w:p>
      <w:pPr>
        <w:pStyle w:val="NormalIndent"/>
        <w:rPr>
          <w:sz w:val="20"/>
          <w:szCs w:val="20"/>
        </w:rPr>
      </w:pPr>
      <w:r>
        <w:rPr>
          <w:sz w:val="20"/>
          <w:szCs w:val="20"/>
        </w:rPr>
      </w:r>
    </w:p>
    <w:p>
      <w:pPr>
        <w:pStyle w:val="NormalIndent"/>
        <w:rPr>
          <w:sz w:val="20"/>
          <w:szCs w:val="20"/>
        </w:rPr>
      </w:pPr>
      <w:r>
        <w:rPr>
          <w:sz w:val="20"/>
          <w:szCs w:val="20"/>
        </w:rPr>
        <w:t>12/29/00 - CGT filed its annual rate adjustments effective 2/1/01 for environmental costs per its settlement.</w:t>
      </w:r>
    </w:p>
    <w:p>
      <w:pPr>
        <w:pStyle w:val="NormalIndent"/>
        <w:rPr>
          <w:sz w:val="20"/>
          <w:szCs w:val="20"/>
        </w:rPr>
      </w:pPr>
      <w:r>
        <w:rPr>
          <w:sz w:val="20"/>
          <w:szCs w:val="20"/>
        </w:rPr>
      </w:r>
    </w:p>
    <w:p>
      <w:pPr>
        <w:pStyle w:val="NormalIndent"/>
        <w:rPr>
          <w:sz w:val="20"/>
          <w:szCs w:val="20"/>
        </w:rPr>
      </w:pPr>
      <w:r>
        <w:rPr>
          <w:sz w:val="20"/>
          <w:szCs w:val="20"/>
        </w:rPr>
        <w:t>1/19/01 - FERC approved CGT’s rate increases to recover environmental remediation costs effective 2/1/01.</w:t>
      </w:r>
    </w:p>
    <w:p>
      <w:pPr>
        <w:pStyle w:val="Normal"/>
        <w:rPr>
          <w:b/>
          <w:bCs/>
          <w:sz w:val="20"/>
          <w:szCs w:val="20"/>
        </w:rPr>
      </w:pPr>
      <w:r>
        <w:rPr>
          <w:b/>
          <w:bCs/>
          <w:sz w:val="20"/>
          <w:szCs w:val="20"/>
        </w:rPr>
      </w:r>
    </w:p>
    <w:p>
      <w:pPr>
        <w:pStyle w:val="Normal"/>
        <w:rPr>
          <w:b/>
          <w:bCs/>
          <w:sz w:val="20"/>
          <w:szCs w:val="20"/>
        </w:rPr>
      </w:pPr>
      <w:r>
        <w:rPr>
          <w:b/>
          <w:bCs/>
          <w:sz w:val="20"/>
          <w:szCs w:val="20"/>
        </w:rPr>
        <w:t>Columbia Gulf Transmission Company</w:t>
      </w:r>
    </w:p>
    <w:p>
      <w:pPr>
        <w:pStyle w:val="NormalIndent"/>
        <w:rPr>
          <w:sz w:val="20"/>
          <w:szCs w:val="20"/>
        </w:rPr>
      </w:pPr>
      <w:r>
        <w:rPr>
          <w:sz w:val="20"/>
          <w:szCs w:val="20"/>
        </w:rPr>
        <w:t>12/6/00 - CGulf filed notice of a negotiated rate with Exxon Mobil for ITS service from South Pass 55 to Egan A and D for 50,000/d effective 12/2/00-3/31/01.  The rate is the difference between Gas Daily prices for Columbia-Onshore South and Tennessee 500 leg, less fuel, less ACA, less $.01 with a minimum rate of $.01 and a maximum rate of $.05; however, if Exxon-Mobil transports less than 150,000 dth in a month, max rate is charged.</w:t>
      </w:r>
    </w:p>
    <w:p>
      <w:pPr>
        <w:pStyle w:val="NormalIndent"/>
        <w:rPr>
          <w:sz w:val="20"/>
          <w:szCs w:val="20"/>
        </w:rPr>
      </w:pPr>
      <w:r>
        <w:rPr>
          <w:sz w:val="20"/>
          <w:szCs w:val="20"/>
        </w:rPr>
      </w:r>
    </w:p>
    <w:p>
      <w:pPr>
        <w:pStyle w:val="NormalIndent"/>
        <w:rPr>
          <w:sz w:val="20"/>
          <w:szCs w:val="20"/>
        </w:rPr>
      </w:pPr>
      <w:r>
        <w:rPr>
          <w:sz w:val="20"/>
          <w:szCs w:val="20"/>
        </w:rPr>
        <w:t>1/16/01 - CGulf filed notice of a negotiated rate agreement with Transworld Exploration.  It is a five-year IT agreement with a rate determined by the difference between the Inside FERC CGulf and Tennessee Louisiana indexes, with a floor of $.02 and a cap of $.06.  Transworld is committing to transport all of its production from East Cameron Block 33 A-5 and A-5D to CGulf’s EC Block 23 system.  The discounted rate is for service from EC 23 to CGulf’s onshore zone or a zone 30 pool.</w:t>
      </w:r>
    </w:p>
    <w:p>
      <w:pPr>
        <w:pStyle w:val="Normal"/>
        <w:rPr>
          <w:b/>
          <w:bCs/>
          <w:sz w:val="20"/>
          <w:szCs w:val="20"/>
        </w:rPr>
      </w:pPr>
      <w:r>
        <w:rPr>
          <w:b/>
          <w:bCs/>
          <w:sz w:val="20"/>
          <w:szCs w:val="20"/>
        </w:rPr>
      </w:r>
    </w:p>
    <w:p>
      <w:pPr>
        <w:pStyle w:val="Normal"/>
        <w:rPr>
          <w:b/>
          <w:bCs/>
          <w:sz w:val="20"/>
          <w:szCs w:val="20"/>
        </w:rPr>
      </w:pPr>
      <w:r>
        <w:rPr>
          <w:b/>
          <w:bCs/>
          <w:sz w:val="20"/>
          <w:szCs w:val="20"/>
        </w:rPr>
        <w:t>Dominion Transmission, Inc.</w:t>
      </w:r>
    </w:p>
    <w:p>
      <w:pPr>
        <w:pStyle w:val="NormalIndent"/>
        <w:rPr>
          <w:sz w:val="20"/>
          <w:szCs w:val="20"/>
        </w:rPr>
      </w:pPr>
      <w:r>
        <w:rPr>
          <w:sz w:val="20"/>
          <w:szCs w:val="20"/>
        </w:rPr>
        <w:t>11/1/00 - DTI filed new tariff sheets implementing full unbundled gathering and products extraction rates to be effective 1/1/01.  Obviously this unbundling affects transport rates--proposed rate changes are:</w:t>
      </w:r>
      <w:r>
        <w:br w:type="page"/>
      </w:r>
    </w:p>
    <w:p>
      <w:pPr>
        <w:pStyle w:val="NormalIndent"/>
        <w:rPr>
          <w:sz w:val="20"/>
          <w:szCs w:val="20"/>
        </w:rPr>
      </w:pPr>
      <w:r>
        <w:rPr>
          <w:sz w:val="20"/>
          <w:szCs w:val="20"/>
        </w:rPr>
      </w:r>
    </w:p>
    <w:p>
      <w:pPr>
        <w:pStyle w:val="NormalIndent"/>
        <w:rPr/>
      </w:pPr>
      <w:r>
        <w:rPr>
          <w:sz w:val="20"/>
          <w:szCs w:val="20"/>
        </w:rPr>
        <w:tab/>
      </w:r>
      <w:r>
        <w:rPr>
          <w:b/>
          <w:bCs/>
          <w:sz w:val="20"/>
          <w:szCs w:val="20"/>
        </w:rPr>
        <w:t>Base Rate</w:t>
        <w:tab/>
        <w:tab/>
        <w:t>Proposed</w:t>
        <w:tab/>
        <w:t>Current</w:t>
        <w:tab/>
        <w:tab/>
        <w:t>Change</w:t>
      </w:r>
    </w:p>
    <w:p>
      <w:pPr>
        <w:pStyle w:val="NormalIndent"/>
        <w:rPr>
          <w:b/>
          <w:bCs/>
          <w:sz w:val="20"/>
          <w:szCs w:val="20"/>
        </w:rPr>
      </w:pPr>
      <w:r>
        <w:rPr>
          <w:b/>
          <w:bCs/>
          <w:sz w:val="20"/>
          <w:szCs w:val="20"/>
        </w:rPr>
        <w:tab/>
        <w:t>Component</w:t>
        <w:tab/>
        <w:tab/>
        <w:t>Rate</w:t>
        <w:tab/>
        <w:tab/>
        <w:t>Rate</w:t>
      </w:r>
    </w:p>
    <w:p>
      <w:pPr>
        <w:pStyle w:val="NormalIndent"/>
        <w:rPr>
          <w:sz w:val="20"/>
          <w:szCs w:val="20"/>
        </w:rPr>
      </w:pPr>
      <w:r>
        <w:rPr>
          <w:sz w:val="20"/>
          <w:szCs w:val="20"/>
        </w:rPr>
        <w:tab/>
        <w:t>FT/FTNN Res.</w:t>
        <w:tab/>
        <w:tab/>
        <w:t>$4.6472/Dt</w:t>
        <w:tab/>
        <w:t>$4.6911/Dt</w:t>
        <w:tab/>
        <w:tab/>
        <w:t>($.0439)/Dt</w:t>
      </w:r>
    </w:p>
    <w:p>
      <w:pPr>
        <w:pStyle w:val="NormalIndent"/>
        <w:rPr>
          <w:sz w:val="20"/>
          <w:szCs w:val="20"/>
        </w:rPr>
      </w:pPr>
      <w:r>
        <w:rPr>
          <w:sz w:val="20"/>
          <w:szCs w:val="20"/>
        </w:rPr>
        <w:tab/>
        <w:t>IT</w:t>
        <w:tab/>
        <w:tab/>
        <w:tab/>
        <w:t>$  .1611</w:t>
        <w:tab/>
        <w:t>$  .1625</w:t>
        <w:tab/>
        <w:tab/>
        <w:t>($.0014)</w:t>
      </w:r>
    </w:p>
    <w:p>
      <w:pPr>
        <w:pStyle w:val="NormalIndent"/>
        <w:rPr>
          <w:sz w:val="20"/>
          <w:szCs w:val="20"/>
        </w:rPr>
      </w:pPr>
      <w:r>
        <w:rPr>
          <w:sz w:val="20"/>
          <w:szCs w:val="20"/>
        </w:rPr>
        <w:tab/>
        <w:t>Gathering Res.</w:t>
        <w:tab/>
        <w:tab/>
        <w:t>$0</w:t>
        <w:tab/>
        <w:tab/>
        <w:t>$6.2500</w:t>
        <w:tab/>
        <w:tab/>
        <w:t>($6.2500)</w:t>
      </w:r>
    </w:p>
    <w:p>
      <w:pPr>
        <w:pStyle w:val="NormalIndent"/>
        <w:rPr>
          <w:sz w:val="20"/>
          <w:szCs w:val="20"/>
        </w:rPr>
      </w:pPr>
      <w:r>
        <w:rPr>
          <w:sz w:val="20"/>
          <w:szCs w:val="20"/>
        </w:rPr>
        <w:tab/>
        <w:t>Gathering Usage</w:t>
        <w:tab/>
        <w:t>$.4027</w:t>
        <w:tab/>
        <w:tab/>
        <w:t>$  .1980</w:t>
        <w:tab/>
        <w:tab/>
        <w:t>$  .2047</w:t>
      </w:r>
    </w:p>
    <w:p>
      <w:pPr>
        <w:pStyle w:val="NormalIndent"/>
        <w:rPr>
          <w:sz w:val="20"/>
          <w:szCs w:val="20"/>
        </w:rPr>
      </w:pPr>
      <w:r>
        <w:rPr>
          <w:sz w:val="20"/>
          <w:szCs w:val="20"/>
        </w:rPr>
        <w:tab/>
        <w:t>Products Extraction</w:t>
        <w:tab/>
        <w:t>$.2778</w:t>
        <w:tab/>
        <w:tab/>
        <w:t>$  .02</w:t>
        <w:tab/>
        <w:tab/>
        <w:tab/>
        <w:t>$  .2578</w:t>
      </w:r>
    </w:p>
    <w:p>
      <w:pPr>
        <w:pStyle w:val="NormalIndent"/>
        <w:rPr/>
      </w:pPr>
      <w:r>
        <w:rPr>
          <w:sz w:val="20"/>
          <w:szCs w:val="20"/>
        </w:rPr>
        <w:tab/>
        <w:tab/>
        <w:tab/>
        <w:t xml:space="preserve">       (</w:t>
      </w:r>
      <w:r>
        <w:rPr>
          <w:sz w:val="16"/>
          <w:szCs w:val="16"/>
        </w:rPr>
        <w:t>without allowance for</w:t>
      </w:r>
    </w:p>
    <w:p>
      <w:pPr>
        <w:pStyle w:val="NormalIndent"/>
        <w:rPr>
          <w:sz w:val="16"/>
          <w:szCs w:val="16"/>
        </w:rPr>
      </w:pPr>
      <w:r>
        <w:rPr>
          <w:sz w:val="16"/>
          <w:szCs w:val="16"/>
        </w:rPr>
        <w:tab/>
        <w:tab/>
        <w:tab/>
        <w:t xml:space="preserve">         liquids revenue crediting)</w:t>
      </w:r>
    </w:p>
    <w:p>
      <w:pPr>
        <w:pStyle w:val="NormalIndent"/>
        <w:rPr>
          <w:sz w:val="16"/>
          <w:szCs w:val="16"/>
        </w:rPr>
      </w:pPr>
      <w:r>
        <w:rPr>
          <w:sz w:val="16"/>
          <w:szCs w:val="16"/>
        </w:rPr>
      </w:r>
    </w:p>
    <w:p>
      <w:pPr>
        <w:pStyle w:val="NormalIndent"/>
        <w:rPr>
          <w:sz w:val="20"/>
          <w:szCs w:val="20"/>
        </w:rPr>
      </w:pPr>
      <w:r>
        <w:rPr>
          <w:sz w:val="20"/>
          <w:szCs w:val="20"/>
        </w:rPr>
        <w:t>12/6/00 - DTI filed clarification of its negotiated rate agreement with Allegheny Energy, indicating that DTI is not obligated to serve “full requirements” for Allegheny, but rather a fixed volume.</w:t>
      </w:r>
    </w:p>
    <w:p>
      <w:pPr>
        <w:pStyle w:val="NormalIndent"/>
        <w:rPr>
          <w:sz w:val="20"/>
          <w:szCs w:val="20"/>
        </w:rPr>
      </w:pPr>
      <w:r>
        <w:rPr>
          <w:sz w:val="20"/>
          <w:szCs w:val="20"/>
        </w:rPr>
      </w:r>
    </w:p>
    <w:p>
      <w:pPr>
        <w:pStyle w:val="NormalIndent"/>
        <w:rPr>
          <w:sz w:val="20"/>
          <w:szCs w:val="20"/>
        </w:rPr>
      </w:pPr>
      <w:r>
        <w:rPr>
          <w:sz w:val="20"/>
          <w:szCs w:val="20"/>
        </w:rPr>
        <w:t>12/14/00 - DTI filed clarification of its negotiated rate agreement with Central Hudson Enterprises, indicating that DTI is not obligated to serve “full requirements” for Central Hudson, but rather a fixed volume.</w:t>
      </w:r>
    </w:p>
    <w:p>
      <w:pPr>
        <w:pStyle w:val="NormalIndent"/>
        <w:rPr>
          <w:sz w:val="20"/>
          <w:szCs w:val="20"/>
        </w:rPr>
      </w:pPr>
      <w:r>
        <w:rPr>
          <w:sz w:val="20"/>
          <w:szCs w:val="20"/>
        </w:rPr>
      </w:r>
    </w:p>
    <w:p>
      <w:pPr>
        <w:pStyle w:val="NormalIndent"/>
        <w:rPr>
          <w:sz w:val="20"/>
          <w:szCs w:val="20"/>
        </w:rPr>
      </w:pPr>
      <w:r>
        <w:rPr>
          <w:sz w:val="20"/>
          <w:szCs w:val="20"/>
        </w:rPr>
        <w:t>12/29/00 - DTI filed interim agreements with Pool Operators for gathering and products extraction services while waiting on FERC approval of its earlier filing.  In lieu of the Gathering Charge, Pool Operators shall remit 7.06% of metered receipts; in lieu of Products Extraction Charges, 3.91% of metered receipts.  Pool Operators will be made whole for shrinkage; DTI gets all rights to the liquids.</w:t>
      </w:r>
    </w:p>
    <w:p>
      <w:pPr>
        <w:pStyle w:val="NormalIndent"/>
        <w:rPr>
          <w:sz w:val="20"/>
          <w:szCs w:val="20"/>
        </w:rPr>
      </w:pPr>
      <w:r>
        <w:rPr>
          <w:sz w:val="20"/>
          <w:szCs w:val="20"/>
        </w:rPr>
      </w:r>
    </w:p>
    <w:p>
      <w:pPr>
        <w:pStyle w:val="NormalIndent"/>
        <w:rPr>
          <w:sz w:val="20"/>
          <w:szCs w:val="20"/>
        </w:rPr>
      </w:pPr>
      <w:r>
        <w:rPr>
          <w:sz w:val="20"/>
          <w:szCs w:val="20"/>
        </w:rPr>
        <w:t>1/10/01 – FERC rejected Dominion’s proposed gathering and products extraction rates that were proposed to be effective 1/1/01 due to lack of cost support.</w:t>
      </w:r>
    </w:p>
    <w:p>
      <w:pPr>
        <w:pStyle w:val="NormalIndent"/>
        <w:rPr>
          <w:sz w:val="20"/>
          <w:szCs w:val="20"/>
        </w:rPr>
      </w:pPr>
      <w:r>
        <w:rPr>
          <w:sz w:val="20"/>
          <w:szCs w:val="20"/>
        </w:rPr>
      </w:r>
    </w:p>
    <w:p>
      <w:pPr>
        <w:pStyle w:val="Normal"/>
        <w:rPr>
          <w:b/>
          <w:bCs/>
          <w:sz w:val="20"/>
          <w:szCs w:val="20"/>
        </w:rPr>
      </w:pPr>
      <w:r>
        <w:rPr>
          <w:b/>
          <w:bCs/>
          <w:sz w:val="20"/>
          <w:szCs w:val="20"/>
        </w:rPr>
        <w:t>Gulf South Pipeline Company (Koch)</w:t>
      </w:r>
    </w:p>
    <w:p>
      <w:pPr>
        <w:pStyle w:val="NormalIndent"/>
        <w:rPr>
          <w:sz w:val="20"/>
          <w:szCs w:val="20"/>
        </w:rPr>
      </w:pPr>
      <w:r>
        <w:rPr>
          <w:sz w:val="20"/>
          <w:szCs w:val="20"/>
        </w:rPr>
        <w:t>1/11/01 – GS filed notice of a special negotiated rate with Koch Energy Trading.  The deal is for 8,000/d unless Mobile Chalmette builds its proposed Liquids Recovery Unit during the term, then KET may request an additional 52,000/d at these rates.  The rate is an “all in” rate of $.08 from Mobile Bay or $.095 from Venice for actual transport volumes.  For volumes KET chooses not to flow, it is billed a $.05 demand charge.  The primary delivery point is the Chalmette Refinery.  Eligible Supplemental Delivery Points are:  Texas Gas Lonewa, Bridgeline Paradis, Hattiesburg Storage, Henry Hub, and Columbia Gulf-Barron.  Eligible Supplemental Receipt Points are NGPL-Erath, Sea Robin-Erath, Henry Hub, Hattiesburg and Petal Storage.</w:t>
      </w:r>
    </w:p>
    <w:p>
      <w:pPr>
        <w:pStyle w:val="Normal"/>
        <w:rPr>
          <w:b/>
          <w:bCs/>
          <w:sz w:val="20"/>
          <w:szCs w:val="20"/>
        </w:rPr>
      </w:pPr>
      <w:r>
        <w:rPr>
          <w:b/>
          <w:bCs/>
          <w:sz w:val="20"/>
          <w:szCs w:val="20"/>
        </w:rPr>
      </w:r>
    </w:p>
    <w:p>
      <w:pPr>
        <w:pStyle w:val="Normal"/>
        <w:rPr>
          <w:b/>
          <w:bCs/>
          <w:sz w:val="20"/>
          <w:szCs w:val="20"/>
        </w:rPr>
      </w:pPr>
      <w:r>
        <w:rPr>
          <w:b/>
          <w:bCs/>
          <w:sz w:val="20"/>
          <w:szCs w:val="20"/>
        </w:rPr>
        <w:t>Maritimes &amp; Northeast Pipeline, LLC</w:t>
      </w:r>
    </w:p>
    <w:p>
      <w:pPr>
        <w:pStyle w:val="NormalIndent"/>
        <w:rPr>
          <w:sz w:val="20"/>
          <w:szCs w:val="20"/>
        </w:rPr>
      </w:pPr>
      <w:r>
        <w:rPr>
          <w:sz w:val="20"/>
          <w:szCs w:val="20"/>
        </w:rPr>
        <w:t>1/3/01 – M&amp;N filed notice of negotiated rate agreements with Duke and Sempra.  Each deal is for 25,000/d with no demand charge (but with a minimum bill) and a $.715 usage rate.  Duke’s capacity goes from Calais to Veazie effective 1/1/01-3/31/01 and has a minimum bill of $110,825 per month.  Sempra’s capacity goes from Calais to Dracut effective 1/1/01 to 1/31/01 with a minimum bill of $332,475.</w:t>
      </w:r>
    </w:p>
    <w:p>
      <w:pPr>
        <w:pStyle w:val="Normal"/>
        <w:rPr>
          <w:b/>
          <w:bCs/>
          <w:sz w:val="20"/>
          <w:szCs w:val="20"/>
        </w:rPr>
      </w:pPr>
      <w:r>
        <w:rPr>
          <w:b/>
          <w:bCs/>
          <w:sz w:val="20"/>
          <w:szCs w:val="20"/>
        </w:rPr>
      </w:r>
    </w:p>
    <w:p>
      <w:pPr>
        <w:pStyle w:val="Normal"/>
        <w:rPr>
          <w:b/>
          <w:bCs/>
          <w:sz w:val="20"/>
          <w:szCs w:val="20"/>
        </w:rPr>
      </w:pPr>
      <w:r>
        <w:rPr>
          <w:b/>
          <w:bCs/>
          <w:sz w:val="20"/>
          <w:szCs w:val="20"/>
        </w:rPr>
        <w:t>National Fuel Gas Supply Corp.</w:t>
      </w:r>
    </w:p>
    <w:p>
      <w:pPr>
        <w:pStyle w:val="NormalIndent"/>
        <w:rPr>
          <w:sz w:val="20"/>
          <w:szCs w:val="20"/>
        </w:rPr>
      </w:pPr>
      <w:r>
        <w:rPr>
          <w:sz w:val="20"/>
          <w:szCs w:val="20"/>
        </w:rPr>
        <w:t>1/9/01 - Nfuel filed revised negotiated rate agreements with TXU Energy Trading.  These were one year storage and related transport contracts filed last April.  The quantities are being reduced to 50% (now 1,757,500 of storage; 10,105 injection and 18,500 withdrawal) effective 4/1/01.  There were also minor changes in the interest rate used for pv calculations.</w:t>
      </w:r>
    </w:p>
    <w:p>
      <w:pPr>
        <w:pStyle w:val="Normal"/>
        <w:rPr>
          <w:b/>
          <w:bCs/>
          <w:sz w:val="20"/>
          <w:szCs w:val="20"/>
        </w:rPr>
      </w:pPr>
      <w:r>
        <w:rPr>
          <w:b/>
          <w:bCs/>
          <w:sz w:val="20"/>
          <w:szCs w:val="20"/>
        </w:rPr>
      </w:r>
    </w:p>
    <w:p>
      <w:pPr>
        <w:pStyle w:val="Normal"/>
        <w:rPr>
          <w:b/>
          <w:bCs/>
          <w:sz w:val="20"/>
          <w:szCs w:val="20"/>
        </w:rPr>
      </w:pPr>
      <w:r>
        <w:rPr>
          <w:b/>
          <w:bCs/>
          <w:sz w:val="20"/>
          <w:szCs w:val="20"/>
        </w:rPr>
        <w:t>Tennessee Gas Pipeline Co.</w:t>
      </w:r>
    </w:p>
    <w:p>
      <w:pPr>
        <w:pStyle w:val="NormalIndent"/>
        <w:rPr>
          <w:sz w:val="20"/>
          <w:szCs w:val="20"/>
        </w:rPr>
      </w:pPr>
      <w:r>
        <w:rPr>
          <w:sz w:val="20"/>
          <w:szCs w:val="20"/>
        </w:rPr>
        <w:t>12/12/00 – Tennessee filed notice of a negotiated rate agreement with Unocal effective 1/1/01 through 9/30/03 for FT service of 120,000/d from Ship Shoal Block 295 to Venice.  The rate is $1.22 demand or max rate, whichever is lower and Unocal has some early termination rights and extension rights.</w:t>
      </w:r>
    </w:p>
    <w:p>
      <w:pPr>
        <w:pStyle w:val="NormalIndent"/>
        <w:rPr>
          <w:sz w:val="20"/>
          <w:szCs w:val="20"/>
        </w:rPr>
      </w:pPr>
      <w:r>
        <w:rPr>
          <w:sz w:val="20"/>
          <w:szCs w:val="20"/>
        </w:rPr>
      </w:r>
    </w:p>
    <w:p>
      <w:pPr>
        <w:pStyle w:val="Normal"/>
        <w:rPr>
          <w:b/>
          <w:bCs/>
          <w:sz w:val="20"/>
          <w:szCs w:val="20"/>
        </w:rPr>
      </w:pPr>
      <w:r>
        <w:rPr>
          <w:b/>
          <w:bCs/>
          <w:sz w:val="20"/>
          <w:szCs w:val="20"/>
        </w:rPr>
        <w:t>Texas Eastern Transmission Corporation</w:t>
      </w:r>
    </w:p>
    <w:p>
      <w:pPr>
        <w:pStyle w:val="NormalIndent"/>
        <w:rPr>
          <w:sz w:val="20"/>
          <w:szCs w:val="20"/>
        </w:rPr>
      </w:pPr>
      <w:r>
        <w:rPr>
          <w:sz w:val="20"/>
          <w:szCs w:val="20"/>
        </w:rPr>
        <w:t>TETCO filed a small increase in rates under its Electric Power Cost Adjustment mechanism effective 2/1/01.</w:t>
      </w:r>
    </w:p>
    <w:p>
      <w:pPr>
        <w:pStyle w:val="NormalIndent"/>
        <w:rPr>
          <w:sz w:val="20"/>
          <w:szCs w:val="20"/>
        </w:rPr>
      </w:pPr>
      <w:r>
        <w:rPr>
          <w:sz w:val="20"/>
          <w:szCs w:val="20"/>
        </w:rPr>
      </w:r>
    </w:p>
    <w:p>
      <w:pPr>
        <w:pStyle w:val="Heading8"/>
        <w:ind w:hanging="0" w:start="0"/>
        <w:rPr/>
      </w:pPr>
      <w:r>
        <w:rPr/>
        <w:t>Texas Gas Transmission</w:t>
      </w:r>
    </w:p>
    <w:p>
      <w:pPr>
        <w:pStyle w:val="NormalIndent"/>
        <w:rPr>
          <w:sz w:val="20"/>
          <w:szCs w:val="20"/>
        </w:rPr>
      </w:pPr>
      <w:r>
        <w:rPr>
          <w:sz w:val="20"/>
          <w:szCs w:val="20"/>
        </w:rPr>
        <w:t>12/28/00 – TGT filed and FERC approved rate revisions reflecting the termination of HIOS contract and removal of costs from Account 858 effective 1/1/01.</w:t>
      </w:r>
    </w:p>
    <w:p>
      <w:pPr>
        <w:pStyle w:val="Normal"/>
        <w:rPr>
          <w:b/>
          <w:bCs/>
          <w:sz w:val="20"/>
          <w:szCs w:val="20"/>
        </w:rPr>
      </w:pPr>
      <w:r>
        <w:rPr>
          <w:b/>
          <w:bCs/>
          <w:sz w:val="20"/>
          <w:szCs w:val="20"/>
        </w:rPr>
      </w:r>
    </w:p>
    <w:p>
      <w:pPr>
        <w:pStyle w:val="Normal"/>
        <w:rPr>
          <w:b/>
          <w:bCs/>
          <w:sz w:val="20"/>
          <w:szCs w:val="20"/>
        </w:rPr>
      </w:pPr>
      <w:r>
        <w:rPr>
          <w:b/>
          <w:bCs/>
          <w:sz w:val="20"/>
          <w:szCs w:val="20"/>
        </w:rPr>
      </w:r>
    </w:p>
    <w:p>
      <w:pPr>
        <w:pStyle w:val="Normal"/>
        <w:rPr>
          <w:b/>
          <w:bCs/>
          <w:color w:val="0000FF"/>
          <w:sz w:val="20"/>
          <w:szCs w:val="20"/>
        </w:rPr>
      </w:pPr>
      <w:r>
        <w:rPr>
          <w:b/>
          <w:bCs/>
          <w:color w:val="0000FF"/>
          <w:sz w:val="20"/>
          <w:szCs w:val="20"/>
          <w:u w:val="single"/>
        </w:rPr>
        <w:t>CENTRAL REGION</w:t>
      </w:r>
    </w:p>
    <w:p>
      <w:pPr>
        <w:pStyle w:val="Normal"/>
        <w:rPr>
          <w:b/>
          <w:bCs/>
          <w:color w:val="0000FF"/>
          <w:sz w:val="20"/>
          <w:szCs w:val="20"/>
        </w:rPr>
      </w:pPr>
      <w:r>
        <w:rPr>
          <w:b/>
          <w:bCs/>
          <w:color w:val="0000FF"/>
          <w:sz w:val="20"/>
          <w:szCs w:val="20"/>
        </w:rPr>
      </w:r>
    </w:p>
    <w:p>
      <w:pPr>
        <w:pStyle w:val="Normal"/>
        <w:rPr>
          <w:b/>
          <w:bCs/>
          <w:sz w:val="20"/>
          <w:szCs w:val="20"/>
        </w:rPr>
      </w:pPr>
      <w:r>
        <w:rPr>
          <w:b/>
          <w:bCs/>
          <w:sz w:val="20"/>
          <w:szCs w:val="20"/>
        </w:rPr>
        <w:t>ANR Pipeline Company</w:t>
      </w:r>
    </w:p>
    <w:p>
      <w:pPr>
        <w:pStyle w:val="NormalIndent"/>
        <w:rPr>
          <w:sz w:val="20"/>
          <w:szCs w:val="20"/>
        </w:rPr>
      </w:pPr>
      <w:r>
        <w:rPr>
          <w:sz w:val="20"/>
          <w:szCs w:val="20"/>
        </w:rPr>
        <w:t>11/30/00 - ANR filed an increase in its Dakota Costs Surcharge effective 12/1/00 from $.126/Dth to $.13.</w:t>
      </w:r>
    </w:p>
    <w:p>
      <w:pPr>
        <w:pStyle w:val="NormalIndent"/>
        <w:rPr>
          <w:sz w:val="20"/>
          <w:szCs w:val="20"/>
        </w:rPr>
      </w:pPr>
      <w:r>
        <w:rPr>
          <w:sz w:val="20"/>
          <w:szCs w:val="20"/>
        </w:rPr>
      </w:r>
    </w:p>
    <w:p>
      <w:pPr>
        <w:pStyle w:val="NormalIndent"/>
        <w:rPr>
          <w:sz w:val="20"/>
          <w:szCs w:val="20"/>
        </w:rPr>
      </w:pPr>
      <w:r>
        <w:rPr>
          <w:sz w:val="20"/>
          <w:szCs w:val="20"/>
        </w:rPr>
        <w:t>12/8/00 - ANR filed a correction to the receipt point in its previously filed notice of negotiated rates for 7 contracts.  It incorrectly identified the point as the Will County Interconnect instead of the Alliance/ANR interconnect.</w:t>
      </w:r>
    </w:p>
    <w:p>
      <w:pPr>
        <w:pStyle w:val="NormalIndent"/>
        <w:rPr>
          <w:sz w:val="20"/>
          <w:szCs w:val="20"/>
        </w:rPr>
      </w:pPr>
      <w:r>
        <w:rPr>
          <w:sz w:val="20"/>
          <w:szCs w:val="20"/>
        </w:rPr>
      </w:r>
    </w:p>
    <w:p>
      <w:pPr>
        <w:pStyle w:val="NormalIndent"/>
        <w:rPr>
          <w:sz w:val="20"/>
          <w:szCs w:val="20"/>
        </w:rPr>
      </w:pPr>
      <w:r>
        <w:rPr>
          <w:sz w:val="20"/>
          <w:szCs w:val="20"/>
        </w:rPr>
        <w:t>1/19/01 - ANR filed to add a new eligible point, the Mone Plant Interconnect in Convoy, Ohio, as an eligible IPLS (Interruptible Parking and Lending Service) point.</w:t>
      </w:r>
    </w:p>
    <w:p>
      <w:pPr>
        <w:pStyle w:val="NormalIndent"/>
        <w:rPr>
          <w:sz w:val="20"/>
          <w:szCs w:val="20"/>
        </w:rPr>
      </w:pPr>
      <w:r>
        <w:rPr>
          <w:sz w:val="20"/>
          <w:szCs w:val="20"/>
        </w:rPr>
      </w:r>
    </w:p>
    <w:p>
      <w:pPr>
        <w:pStyle w:val="NormalIndent"/>
        <w:rPr>
          <w:sz w:val="20"/>
          <w:szCs w:val="20"/>
        </w:rPr>
      </w:pPr>
      <w:r>
        <w:rPr>
          <w:sz w:val="20"/>
          <w:szCs w:val="20"/>
        </w:rPr>
        <w:t>1/22/01 - ANR filed revised tariff sheets regarding its negotiated rate agreement with Reliant Energy Services.  It clarified how the Time Value component is calculated, how Gross Margin is defined and identified the type of storage service underlying the negotiated rate agreements.</w:t>
      </w:r>
    </w:p>
    <w:p>
      <w:pPr>
        <w:pStyle w:val="NormalIndent"/>
        <w:rPr>
          <w:sz w:val="20"/>
          <w:szCs w:val="20"/>
        </w:rPr>
      </w:pPr>
      <w:r>
        <w:rPr>
          <w:sz w:val="20"/>
          <w:szCs w:val="20"/>
        </w:rPr>
      </w:r>
    </w:p>
    <w:p>
      <w:pPr>
        <w:pStyle w:val="Normal"/>
        <w:rPr>
          <w:b/>
          <w:bCs/>
          <w:sz w:val="20"/>
          <w:szCs w:val="20"/>
        </w:rPr>
      </w:pPr>
      <w:r>
        <w:rPr>
          <w:b/>
          <w:bCs/>
          <w:sz w:val="20"/>
          <w:szCs w:val="20"/>
        </w:rPr>
        <w:t>Natural Gas Pipeline Company of America</w:t>
      </w:r>
    </w:p>
    <w:p>
      <w:pPr>
        <w:pStyle w:val="NormalIndent"/>
        <w:rPr>
          <w:sz w:val="20"/>
          <w:szCs w:val="20"/>
        </w:rPr>
      </w:pPr>
      <w:r>
        <w:rPr>
          <w:sz w:val="20"/>
          <w:szCs w:val="20"/>
        </w:rPr>
        <w:t>1/4/01 - NGPL filed notice of a negotiated rate agreement with Wise County Power for FTS service up to 30,000/d.  The reservation charge is $1.58184, plus an advance payment of $500,000.  Service will begin upon commercial operation of the plant, expected between 6/1/03 and 11/1/03, and will be in place for 10 years.  The primary receipt point is Alliance-Joliet; primary delivery point is Tractebel Fuels/NGPL-Wise.</w:t>
      </w:r>
    </w:p>
    <w:p>
      <w:pPr>
        <w:pStyle w:val="NormalIndent"/>
        <w:rPr>
          <w:sz w:val="20"/>
          <w:szCs w:val="20"/>
        </w:rPr>
      </w:pPr>
      <w:r>
        <w:rPr>
          <w:sz w:val="20"/>
          <w:szCs w:val="20"/>
        </w:rPr>
      </w:r>
    </w:p>
    <w:p>
      <w:pPr>
        <w:pStyle w:val="Normal"/>
        <w:rPr>
          <w:b/>
          <w:bCs/>
          <w:sz w:val="20"/>
          <w:szCs w:val="20"/>
        </w:rPr>
      </w:pPr>
      <w:r>
        <w:rPr>
          <w:b/>
          <w:bCs/>
          <w:sz w:val="20"/>
          <w:szCs w:val="20"/>
        </w:rPr>
        <w:t>Northern Border Pipeline Company</w:t>
      </w:r>
    </w:p>
    <w:p>
      <w:pPr>
        <w:pStyle w:val="NormalIndent"/>
        <w:rPr>
          <w:sz w:val="20"/>
          <w:szCs w:val="20"/>
        </w:rPr>
      </w:pPr>
      <w:r>
        <w:rPr>
          <w:sz w:val="20"/>
          <w:szCs w:val="20"/>
        </w:rPr>
        <w:t>NB filed tariff sheets to incorporate the new settlement provisions.  Although the rates were effective back to 12/1/99, some other provisions are not effective until 2/1/01.</w:t>
      </w:r>
    </w:p>
    <w:p>
      <w:pPr>
        <w:pStyle w:val="NormalIndent"/>
        <w:rPr>
          <w:sz w:val="20"/>
          <w:szCs w:val="20"/>
        </w:rPr>
      </w:pPr>
      <w:r>
        <w:rPr>
          <w:sz w:val="20"/>
          <w:szCs w:val="20"/>
        </w:rPr>
      </w:r>
    </w:p>
    <w:p>
      <w:pPr>
        <w:pStyle w:val="Normal"/>
        <w:rPr>
          <w:b/>
          <w:bCs/>
          <w:sz w:val="20"/>
          <w:szCs w:val="20"/>
        </w:rPr>
      </w:pPr>
      <w:r>
        <w:rPr>
          <w:b/>
          <w:bCs/>
          <w:sz w:val="20"/>
          <w:szCs w:val="20"/>
        </w:rPr>
        <w:t>Northern Natural Gas Co.</w:t>
      </w:r>
    </w:p>
    <w:p>
      <w:pPr>
        <w:pStyle w:val="NormalIndent"/>
        <w:rPr>
          <w:sz w:val="20"/>
          <w:szCs w:val="20"/>
        </w:rPr>
      </w:pPr>
      <w:r>
        <w:rPr>
          <w:sz w:val="20"/>
          <w:szCs w:val="20"/>
        </w:rPr>
        <w:t>12/1/00 - NNG filed a revised SBA (System Balancing Agreement) surcharge effective 1/1/01.  The new SBA surcharge is $.157, which is an increase of $.04</w:t>
      </w:r>
    </w:p>
    <w:p>
      <w:pPr>
        <w:pStyle w:val="NormalIndent"/>
        <w:rPr>
          <w:sz w:val="20"/>
          <w:szCs w:val="20"/>
        </w:rPr>
      </w:pPr>
      <w:r>
        <w:rPr>
          <w:sz w:val="20"/>
          <w:szCs w:val="20"/>
        </w:rPr>
      </w:r>
    </w:p>
    <w:p>
      <w:pPr>
        <w:pStyle w:val="NormalIndent"/>
        <w:rPr>
          <w:sz w:val="20"/>
          <w:szCs w:val="20"/>
        </w:rPr>
      </w:pPr>
      <w:r>
        <w:rPr>
          <w:sz w:val="20"/>
          <w:szCs w:val="20"/>
        </w:rPr>
        <w:t>12/15/00 - NNG filed clarification of a negotiated rate agreement with Midwest Natural Gas as requested by FERC.  They have separated the transmission component from the construction cost component.</w:t>
      </w:r>
    </w:p>
    <w:p>
      <w:pPr>
        <w:pStyle w:val="NormalIndent"/>
        <w:rPr>
          <w:sz w:val="20"/>
          <w:szCs w:val="20"/>
        </w:rPr>
      </w:pPr>
      <w:r>
        <w:rPr>
          <w:sz w:val="20"/>
          <w:szCs w:val="20"/>
        </w:rPr>
      </w:r>
    </w:p>
    <w:p>
      <w:pPr>
        <w:pStyle w:val="NormalIndent"/>
        <w:rPr>
          <w:sz w:val="20"/>
          <w:szCs w:val="20"/>
        </w:rPr>
      </w:pPr>
      <w:r>
        <w:rPr>
          <w:sz w:val="20"/>
          <w:szCs w:val="20"/>
        </w:rPr>
        <w:t>1/5/01 - NNG filed notice of three negotiated rate transactions.  The first is with OGE Energy Resources for 4100/d for service from 1/1/01 through 1/15/01 at a rate of $.50 demand for service from POI #37654 to #3077 and 3087.  The next deal is with Oneok Energy Marketing for 10,000/d from the Cargray Plant to Demarc effective 1/1/01-3/31/01 with a formula based rate tied to the difference between IF NNG Demarc monthly index less PEPL index and fuel.  The third deal was with Aquila Energy Marketing for 5,000/d from Oasis-Waha to Demarc at the same rate as the previous formula.</w:t>
      </w:r>
    </w:p>
    <w:p>
      <w:pPr>
        <w:pStyle w:val="NormalIndent"/>
        <w:rPr>
          <w:sz w:val="20"/>
          <w:szCs w:val="20"/>
        </w:rPr>
      </w:pPr>
      <w:r>
        <w:rPr>
          <w:sz w:val="20"/>
          <w:szCs w:val="20"/>
        </w:rPr>
      </w:r>
    </w:p>
    <w:p>
      <w:pPr>
        <w:pStyle w:val="NormalIndent"/>
        <w:rPr>
          <w:sz w:val="20"/>
          <w:szCs w:val="20"/>
        </w:rPr>
      </w:pPr>
      <w:r>
        <w:rPr>
          <w:sz w:val="20"/>
          <w:szCs w:val="20"/>
        </w:rPr>
        <w:t>1/9/01 - NNG filed a revised volume for the previously filed negotiated rate transaction with OGE from 4100 to 4900 and makes it effective through 3/31/01.</w:t>
      </w:r>
    </w:p>
    <w:p>
      <w:pPr>
        <w:pStyle w:val="NormalIndent"/>
        <w:rPr>
          <w:sz w:val="20"/>
          <w:szCs w:val="20"/>
        </w:rPr>
      </w:pPr>
      <w:r>
        <w:rPr>
          <w:sz w:val="20"/>
          <w:szCs w:val="20"/>
        </w:rPr>
      </w:r>
    </w:p>
    <w:p>
      <w:pPr>
        <w:pStyle w:val="NormalIndent"/>
        <w:rPr>
          <w:sz w:val="20"/>
          <w:szCs w:val="20"/>
        </w:rPr>
      </w:pPr>
      <w:r>
        <w:rPr>
          <w:sz w:val="20"/>
          <w:szCs w:val="20"/>
        </w:rPr>
        <w:t>1/12/01 – NNG filed a new rate of $.45 reservation, plus commodity plus the Carlton surcharge, for the OGE contract effective 1/16-31.</w:t>
      </w:r>
    </w:p>
    <w:p>
      <w:pPr>
        <w:pStyle w:val="NormalIndent"/>
        <w:rPr>
          <w:b/>
          <w:bCs/>
          <w:sz w:val="20"/>
          <w:szCs w:val="20"/>
        </w:rPr>
      </w:pPr>
      <w:r>
        <w:rPr>
          <w:b/>
          <w:bCs/>
          <w:sz w:val="20"/>
          <w:szCs w:val="20"/>
        </w:rPr>
      </w:r>
    </w:p>
    <w:p>
      <w:pPr>
        <w:pStyle w:val="Normal"/>
        <w:rPr>
          <w:b/>
          <w:bCs/>
          <w:sz w:val="20"/>
          <w:szCs w:val="20"/>
        </w:rPr>
      </w:pPr>
      <w:r>
        <w:rPr>
          <w:b/>
          <w:bCs/>
          <w:sz w:val="20"/>
          <w:szCs w:val="20"/>
        </w:rPr>
        <w:t>Reliant Gas Transmission (Noram)</w:t>
      </w:r>
    </w:p>
    <w:p>
      <w:pPr>
        <w:pStyle w:val="NormalIndent"/>
        <w:rPr>
          <w:sz w:val="20"/>
          <w:szCs w:val="20"/>
        </w:rPr>
      </w:pPr>
      <w:r>
        <w:rPr>
          <w:sz w:val="20"/>
          <w:szCs w:val="20"/>
        </w:rPr>
        <w:t>1/5/01 - Reliant filed notice of a new negotiated rate contract with Potlatch Corporation for FT overrun service above 9000/d at a rate of $.335, whether authorized or not.  Potlatch is also contracting for HFT service effective 1/1/01-2/28/01, 12/1/01-2/28/02; and 12/1/02-2/28/03 for its full plant requirements.  Potlatch may elect, prior to 9/30 of each year to permanently reduce its HFT Contract Demand.</w:t>
      </w:r>
    </w:p>
    <w:p>
      <w:pPr>
        <w:pStyle w:val="NormalIndent"/>
        <w:rPr>
          <w:sz w:val="20"/>
          <w:szCs w:val="20"/>
        </w:rPr>
      </w:pPr>
      <w:r>
        <w:rPr>
          <w:sz w:val="20"/>
          <w:szCs w:val="20"/>
        </w:rPr>
      </w:r>
    </w:p>
    <w:p>
      <w:pPr>
        <w:pStyle w:val="NormalIndent"/>
        <w:rPr>
          <w:sz w:val="20"/>
          <w:szCs w:val="20"/>
        </w:rPr>
      </w:pPr>
      <w:r>
        <w:rPr>
          <w:sz w:val="20"/>
          <w:szCs w:val="20"/>
        </w:rPr>
        <w:t xml:space="preserve">12/29/00 - Reliant filed notice of a new negotiated rate contract with Oneok Energy Marketing for parking service.  </w:t>
      </w:r>
    </w:p>
    <w:p>
      <w:pPr>
        <w:pStyle w:val="NormalIndent"/>
        <w:rPr>
          <w:sz w:val="20"/>
          <w:szCs w:val="20"/>
        </w:rPr>
      </w:pPr>
      <w:r>
        <w:rPr>
          <w:sz w:val="20"/>
          <w:szCs w:val="20"/>
        </w:rPr>
        <w:t>The Monthly Billing Amount is $112,875 for Jan-March 01, then $118,875 thereafter, plus a daily parking rate of $.01/dth.  The maximum amount allowed under the service at any time is 1,650,000 Dth, with no more than 35,000/d to be parked in January, 55,000/d thereafter and no more than 75,000/d withdrawn on any day.</w:t>
      </w:r>
    </w:p>
    <w:p>
      <w:pPr>
        <w:pStyle w:val="Normal"/>
        <w:rPr>
          <w:b/>
          <w:bCs/>
          <w:sz w:val="20"/>
          <w:szCs w:val="20"/>
        </w:rPr>
      </w:pPr>
      <w:r>
        <w:rPr>
          <w:b/>
          <w:bCs/>
          <w:sz w:val="20"/>
          <w:szCs w:val="20"/>
        </w:rPr>
      </w:r>
    </w:p>
    <w:p>
      <w:pPr>
        <w:pStyle w:val="Normal"/>
        <w:rPr>
          <w:b/>
          <w:bCs/>
          <w:sz w:val="20"/>
          <w:szCs w:val="20"/>
          <w:u w:val="single"/>
        </w:rPr>
      </w:pPr>
      <w:r>
        <w:rPr>
          <w:b/>
          <w:bCs/>
          <w:sz w:val="20"/>
          <w:szCs w:val="20"/>
          <w:u w:val="single"/>
        </w:rPr>
      </w:r>
    </w:p>
    <w:p>
      <w:pPr>
        <w:pStyle w:val="Normal"/>
        <w:rPr>
          <w:b/>
          <w:bCs/>
          <w:color w:val="0000FF"/>
          <w:sz w:val="20"/>
          <w:szCs w:val="20"/>
        </w:rPr>
      </w:pPr>
      <w:r>
        <w:rPr>
          <w:b/>
          <w:bCs/>
          <w:color w:val="0000FF"/>
          <w:sz w:val="20"/>
          <w:szCs w:val="20"/>
          <w:u w:val="single"/>
        </w:rPr>
        <w:t>WEST REGION</w:t>
      </w:r>
    </w:p>
    <w:p>
      <w:pPr>
        <w:pStyle w:val="Normal"/>
        <w:rPr>
          <w:b/>
          <w:bCs/>
          <w:color w:val="0000FF"/>
          <w:sz w:val="20"/>
          <w:szCs w:val="20"/>
        </w:rPr>
      </w:pPr>
      <w:r>
        <w:rPr>
          <w:b/>
          <w:bCs/>
          <w:color w:val="0000FF"/>
          <w:sz w:val="20"/>
          <w:szCs w:val="20"/>
        </w:rPr>
      </w:r>
    </w:p>
    <w:p>
      <w:pPr>
        <w:pStyle w:val="Normal"/>
        <w:rPr>
          <w:b/>
          <w:bCs/>
          <w:sz w:val="20"/>
          <w:szCs w:val="20"/>
        </w:rPr>
      </w:pPr>
      <w:r>
        <w:rPr>
          <w:b/>
          <w:bCs/>
          <w:sz w:val="20"/>
          <w:szCs w:val="20"/>
        </w:rPr>
        <w:t>Colorado Interstate Gas Company</w:t>
      </w:r>
    </w:p>
    <w:p>
      <w:pPr>
        <w:pStyle w:val="NormalIndent"/>
        <w:rPr>
          <w:sz w:val="20"/>
          <w:szCs w:val="20"/>
        </w:rPr>
      </w:pPr>
      <w:r>
        <w:rPr>
          <w:sz w:val="20"/>
          <w:szCs w:val="20"/>
        </w:rPr>
        <w:t>12/28/00 - CIG filed for new daily Scheduled Imbalance Penalties and Automatic Parking and Lending services.  The penalty would apply when scheduled receipts less fuel varies from scheduled deliveries after the intra-day 2 nom cycle.  CIG proposes a technical conference to address protests.</w:t>
      </w:r>
    </w:p>
    <w:p>
      <w:pPr>
        <w:pStyle w:val="Normal"/>
        <w:rPr>
          <w:b/>
          <w:bCs/>
          <w:sz w:val="20"/>
          <w:szCs w:val="20"/>
        </w:rPr>
      </w:pPr>
      <w:r>
        <w:rPr>
          <w:b/>
          <w:bCs/>
          <w:sz w:val="20"/>
          <w:szCs w:val="20"/>
        </w:rPr>
      </w:r>
    </w:p>
    <w:p>
      <w:pPr>
        <w:pStyle w:val="Normal"/>
        <w:rPr>
          <w:b/>
          <w:bCs/>
          <w:sz w:val="20"/>
          <w:szCs w:val="20"/>
        </w:rPr>
      </w:pPr>
      <w:r>
        <w:rPr>
          <w:b/>
          <w:bCs/>
          <w:sz w:val="20"/>
          <w:szCs w:val="20"/>
        </w:rPr>
        <w:t>El Paso Natural Gas Company</w:t>
      </w:r>
    </w:p>
    <w:p>
      <w:pPr>
        <w:pStyle w:val="NormalIndent"/>
        <w:rPr>
          <w:sz w:val="20"/>
          <w:szCs w:val="20"/>
        </w:rPr>
      </w:pPr>
      <w:r>
        <w:rPr>
          <w:sz w:val="20"/>
          <w:szCs w:val="20"/>
        </w:rPr>
        <w:t>12/21/00 – EPNG filed its corrected allocation of Topock rights and tariff sheets setting out California delivery point rights effective 2/1/01.</w:t>
      </w:r>
    </w:p>
    <w:p>
      <w:pPr>
        <w:pStyle w:val="NormalIndent"/>
        <w:rPr>
          <w:sz w:val="20"/>
          <w:szCs w:val="20"/>
        </w:rPr>
      </w:pPr>
      <w:r>
        <w:rPr>
          <w:sz w:val="20"/>
          <w:szCs w:val="20"/>
        </w:rPr>
      </w:r>
    </w:p>
    <w:p>
      <w:pPr>
        <w:pStyle w:val="Normal"/>
        <w:rPr>
          <w:b/>
          <w:bCs/>
          <w:sz w:val="20"/>
          <w:szCs w:val="20"/>
        </w:rPr>
      </w:pPr>
      <w:r>
        <w:rPr>
          <w:b/>
          <w:bCs/>
          <w:sz w:val="20"/>
          <w:szCs w:val="20"/>
        </w:rPr>
        <w:t>Kern River Gas Transmission Company</w:t>
      </w:r>
    </w:p>
    <w:p>
      <w:pPr>
        <w:pStyle w:val="NormalIndent"/>
        <w:rPr>
          <w:sz w:val="20"/>
          <w:szCs w:val="20"/>
        </w:rPr>
      </w:pPr>
      <w:r>
        <w:rPr>
          <w:sz w:val="20"/>
          <w:szCs w:val="20"/>
        </w:rPr>
        <w:t>12/15/00 - Kern filed a proposal to convert MDQ’s in all transport agreements from Mcf to  Dth.  The expected effective date is 9/1/01.  The rates would be adjusted for the new conversion factor.</w:t>
      </w:r>
    </w:p>
    <w:p>
      <w:pPr>
        <w:pStyle w:val="Normal"/>
        <w:rPr>
          <w:b/>
          <w:bCs/>
          <w:sz w:val="20"/>
          <w:szCs w:val="20"/>
        </w:rPr>
      </w:pPr>
      <w:r>
        <w:rPr>
          <w:b/>
          <w:bCs/>
          <w:sz w:val="20"/>
          <w:szCs w:val="20"/>
        </w:rPr>
      </w:r>
    </w:p>
    <w:p>
      <w:pPr>
        <w:pStyle w:val="Normal"/>
        <w:rPr>
          <w:b/>
          <w:bCs/>
          <w:sz w:val="20"/>
          <w:szCs w:val="20"/>
        </w:rPr>
      </w:pPr>
      <w:r>
        <w:rPr>
          <w:b/>
          <w:bCs/>
          <w:sz w:val="20"/>
          <w:szCs w:val="20"/>
        </w:rPr>
        <w:t>Mojave Pipeline Company</w:t>
      </w:r>
    </w:p>
    <w:p>
      <w:pPr>
        <w:pStyle w:val="NormalIndent"/>
        <w:rPr>
          <w:sz w:val="20"/>
          <w:szCs w:val="20"/>
        </w:rPr>
      </w:pPr>
      <w:r>
        <w:rPr>
          <w:sz w:val="20"/>
          <w:szCs w:val="20"/>
        </w:rPr>
        <w:t xml:space="preserve">12/28/00 – FERC accepted, subject to refund and hearing, the extension of existing rates in Mojave’s new rate case.  </w:t>
      </w:r>
    </w:p>
    <w:p>
      <w:pPr>
        <w:pStyle w:val="Normal"/>
        <w:rPr>
          <w:b/>
          <w:bCs/>
          <w:sz w:val="20"/>
          <w:szCs w:val="20"/>
        </w:rPr>
      </w:pPr>
      <w:r>
        <w:rPr>
          <w:b/>
          <w:bCs/>
          <w:sz w:val="20"/>
          <w:szCs w:val="20"/>
        </w:rPr>
      </w:r>
    </w:p>
    <w:p>
      <w:pPr>
        <w:pStyle w:val="Normal"/>
        <w:rPr>
          <w:b/>
          <w:bCs/>
          <w:sz w:val="20"/>
          <w:szCs w:val="20"/>
        </w:rPr>
      </w:pPr>
      <w:r>
        <w:rPr>
          <w:b/>
          <w:bCs/>
          <w:sz w:val="20"/>
          <w:szCs w:val="20"/>
        </w:rPr>
        <w:t>PG&amp;E Gas Transmission (PGT)</w:t>
      </w:r>
    </w:p>
    <w:p>
      <w:pPr>
        <w:pStyle w:val="NormalIndent"/>
        <w:rPr>
          <w:sz w:val="20"/>
          <w:szCs w:val="20"/>
        </w:rPr>
      </w:pPr>
      <w:r>
        <w:rPr>
          <w:sz w:val="20"/>
          <w:szCs w:val="20"/>
        </w:rPr>
        <w:t>12/1/00 - PG&amp;E filed its fuel surcharge adjustment, effective 1/1/01, doubling it from $.0006%/Dth/pipeline mile to $.0012%.</w:t>
      </w:r>
    </w:p>
    <w:p>
      <w:pPr>
        <w:pStyle w:val="NormalIndent"/>
        <w:rPr>
          <w:sz w:val="20"/>
          <w:szCs w:val="20"/>
        </w:rPr>
      </w:pPr>
      <w:r>
        <w:rPr>
          <w:sz w:val="20"/>
          <w:szCs w:val="20"/>
        </w:rPr>
      </w:r>
    </w:p>
    <w:p>
      <w:pPr>
        <w:pStyle w:val="Normal"/>
        <w:rPr>
          <w:b/>
          <w:bCs/>
          <w:sz w:val="20"/>
          <w:szCs w:val="20"/>
        </w:rPr>
      </w:pPr>
      <w:r>
        <w:rPr>
          <w:b/>
          <w:bCs/>
          <w:sz w:val="20"/>
          <w:szCs w:val="20"/>
        </w:rPr>
        <w:t>PG&amp;E Gas Transmission-NW</w:t>
      </w:r>
    </w:p>
    <w:p>
      <w:pPr>
        <w:pStyle w:val="NormalIndent"/>
        <w:rPr>
          <w:sz w:val="20"/>
          <w:szCs w:val="20"/>
        </w:rPr>
      </w:pPr>
      <w:r>
        <w:rPr>
          <w:sz w:val="20"/>
          <w:szCs w:val="20"/>
        </w:rPr>
        <w:t>12/28/00 – FERC accepted PG&amp;E’s filing increasing monthly base fuel rates from .0041% per Dth per pipeline mile to .005%.</w:t>
      </w:r>
    </w:p>
    <w:p>
      <w:pPr>
        <w:pStyle w:val="Normal"/>
        <w:rPr>
          <w:b/>
          <w:bCs/>
          <w:sz w:val="20"/>
          <w:szCs w:val="20"/>
        </w:rPr>
      </w:pPr>
      <w:r>
        <w:rPr>
          <w:b/>
          <w:bCs/>
          <w:sz w:val="20"/>
          <w:szCs w:val="20"/>
        </w:rPr>
      </w:r>
    </w:p>
    <w:p>
      <w:pPr>
        <w:pStyle w:val="Normal"/>
        <w:rPr>
          <w:b/>
          <w:bCs/>
          <w:sz w:val="20"/>
          <w:szCs w:val="20"/>
        </w:rPr>
      </w:pPr>
      <w:r>
        <w:rPr>
          <w:b/>
          <w:bCs/>
          <w:sz w:val="20"/>
          <w:szCs w:val="20"/>
        </w:rPr>
        <w:t>Questar Pipeline Company</w:t>
      </w:r>
    </w:p>
    <w:p>
      <w:pPr>
        <w:pStyle w:val="NormalIndent"/>
        <w:rPr>
          <w:sz w:val="20"/>
          <w:szCs w:val="20"/>
        </w:rPr>
      </w:pPr>
      <w:r>
        <w:rPr>
          <w:sz w:val="20"/>
          <w:szCs w:val="20"/>
        </w:rPr>
        <w:t>11/30/00 - Questar filed a fuel percentage decrease effective 1/1/01, from 1.4% to .8%.</w:t>
      </w:r>
    </w:p>
    <w:p>
      <w:pPr>
        <w:pStyle w:val="NormalIndent"/>
        <w:rPr>
          <w:sz w:val="20"/>
          <w:szCs w:val="20"/>
        </w:rPr>
      </w:pPr>
      <w:r>
        <w:rPr>
          <w:sz w:val="20"/>
          <w:szCs w:val="20"/>
        </w:rPr>
      </w:r>
    </w:p>
    <w:p>
      <w:pPr>
        <w:pStyle w:val="Heading8"/>
        <w:ind w:hanging="0" w:start="0"/>
        <w:rPr/>
      </w:pPr>
      <w:r>
        <w:rPr/>
        <w:t>Trailblazer Pipeline Company</w:t>
      </w:r>
    </w:p>
    <w:p>
      <w:pPr>
        <w:pStyle w:val="NormalIndent"/>
        <w:rPr>
          <w:sz w:val="20"/>
          <w:szCs w:val="20"/>
        </w:rPr>
      </w:pPr>
      <w:r>
        <w:rPr>
          <w:sz w:val="20"/>
          <w:szCs w:val="20"/>
        </w:rPr>
        <w:t xml:space="preserve">12/28/00 – FERC rejected TB’s application for the 324,000 expansion from Colorado to Nebraska, due to incomplete environmental information.  TB can re-file. </w:t>
      </w:r>
    </w:p>
    <w:p>
      <w:pPr>
        <w:pStyle w:val="NormalIndent"/>
        <w:rPr>
          <w:sz w:val="20"/>
          <w:szCs w:val="20"/>
        </w:rPr>
      </w:pPr>
      <w:r>
        <w:rPr>
          <w:sz w:val="20"/>
          <w:szCs w:val="20"/>
        </w:rPr>
      </w:r>
    </w:p>
    <w:p>
      <w:pPr>
        <w:pStyle w:val="Normal"/>
        <w:rPr>
          <w:b/>
          <w:bCs/>
          <w:sz w:val="20"/>
          <w:szCs w:val="20"/>
        </w:rPr>
      </w:pPr>
      <w:r>
        <w:rPr>
          <w:b/>
          <w:bCs/>
          <w:sz w:val="20"/>
          <w:szCs w:val="20"/>
        </w:rPr>
        <w:t>Wyoming Interstate Company</w:t>
      </w:r>
    </w:p>
    <w:p>
      <w:pPr>
        <w:pStyle w:val="NormalIndent"/>
        <w:rPr>
          <w:sz w:val="20"/>
          <w:szCs w:val="20"/>
        </w:rPr>
      </w:pPr>
      <w:r>
        <w:rPr>
          <w:sz w:val="20"/>
          <w:szCs w:val="20"/>
        </w:rPr>
        <w:t>1/4/01 - WIC filed new tariff sheets implementing its settlement.  This includes new rates effective 1/1/00 and 6/1/00—refunds were made based on these rates on 12/11/00.</w:t>
      </w:r>
    </w:p>
    <w:p>
      <w:pPr>
        <w:pStyle w:val="NormalIndent"/>
        <w:rPr>
          <w:sz w:val="20"/>
          <w:szCs w:val="20"/>
        </w:rPr>
      </w:pPr>
      <w:r>
        <w:rPr>
          <w:sz w:val="20"/>
          <w:szCs w:val="20"/>
        </w:rPr>
      </w:r>
    </w:p>
    <w:p>
      <w:pPr>
        <w:pStyle w:val="Normal"/>
        <w:rPr>
          <w:b/>
          <w:bCs/>
          <w:sz w:val="20"/>
          <w:szCs w:val="20"/>
        </w:rPr>
      </w:pPr>
      <w:r>
        <w:rPr>
          <w:b/>
          <w:bCs/>
          <w:i/>
          <w:iCs/>
          <w:sz w:val="20"/>
          <w:szCs w:val="20"/>
        </w:rPr>
        <w:t>Distribution:</w:t>
      </w:r>
    </w:p>
    <w:p>
      <w:pPr>
        <w:pStyle w:val="NormalIndent"/>
        <w:rPr>
          <w:sz w:val="20"/>
          <w:szCs w:val="20"/>
        </w:rPr>
      </w:pPr>
      <w:r>
        <w:rPr>
          <w:sz w:val="20"/>
          <w:szCs w:val="20"/>
        </w:rPr>
        <w:t>Phillip Allen</w:t>
        <w:tab/>
        <w:tab/>
        <w:tab/>
        <w:t>Tom Martin</w:t>
      </w:r>
    </w:p>
    <w:p>
      <w:pPr>
        <w:pStyle w:val="NormalIndent"/>
        <w:rPr>
          <w:sz w:val="20"/>
          <w:szCs w:val="20"/>
        </w:rPr>
      </w:pPr>
      <w:r>
        <w:rPr>
          <w:sz w:val="20"/>
          <w:szCs w:val="20"/>
        </w:rPr>
        <w:t xml:space="preserve">Sandra Brawner </w:t>
        <w:tab/>
        <w:tab/>
        <w:t>Deirdre McCaffrey</w:t>
      </w:r>
    </w:p>
    <w:p>
      <w:pPr>
        <w:pStyle w:val="NormalIndent"/>
        <w:rPr>
          <w:sz w:val="20"/>
          <w:szCs w:val="20"/>
        </w:rPr>
      </w:pPr>
      <w:r>
        <w:rPr>
          <w:sz w:val="20"/>
          <w:szCs w:val="20"/>
        </w:rPr>
        <w:t>Martin Cuilla</w:t>
        <w:tab/>
        <w:tab/>
        <w:tab/>
        <w:t>Greg McClendon</w:t>
      </w:r>
    </w:p>
    <w:p>
      <w:pPr>
        <w:pStyle w:val="NormalIndent"/>
        <w:rPr>
          <w:sz w:val="20"/>
          <w:szCs w:val="20"/>
        </w:rPr>
      </w:pPr>
      <w:r>
        <w:rPr>
          <w:sz w:val="20"/>
          <w:szCs w:val="20"/>
        </w:rPr>
        <w:t>Kate Fraser</w:t>
        <w:tab/>
        <w:tab/>
        <w:tab/>
        <w:t>Brad McKay</w:t>
      </w:r>
    </w:p>
    <w:p>
      <w:pPr>
        <w:pStyle w:val="NormalIndent"/>
        <w:rPr>
          <w:sz w:val="20"/>
          <w:szCs w:val="20"/>
        </w:rPr>
      </w:pPr>
      <w:r>
        <w:rPr>
          <w:sz w:val="20"/>
          <w:szCs w:val="20"/>
        </w:rPr>
        <w:t xml:space="preserve">Chris Germany </w:t>
        <w:tab/>
        <w:tab/>
        <w:tab/>
        <w:t>Scott Neal</w:t>
      </w:r>
    </w:p>
    <w:p>
      <w:pPr>
        <w:pStyle w:val="NormalIndent"/>
        <w:rPr>
          <w:sz w:val="20"/>
          <w:szCs w:val="20"/>
        </w:rPr>
      </w:pPr>
      <w:r>
        <w:rPr>
          <w:sz w:val="20"/>
          <w:szCs w:val="20"/>
        </w:rPr>
        <w:t>Scott Goodell</w:t>
        <w:tab/>
        <w:tab/>
        <w:tab/>
        <w:t>Kim Olinger</w:t>
      </w:r>
    </w:p>
    <w:p>
      <w:pPr>
        <w:pStyle w:val="NormalIndent"/>
        <w:rPr>
          <w:sz w:val="20"/>
          <w:szCs w:val="20"/>
        </w:rPr>
      </w:pPr>
      <w:r>
        <w:rPr>
          <w:sz w:val="20"/>
          <w:szCs w:val="20"/>
        </w:rPr>
        <w:t>Mike Grigsby</w:t>
        <w:tab/>
        <w:tab/>
        <w:tab/>
        <w:t>Sylvia Pollan</w:t>
      </w:r>
    </w:p>
    <w:p>
      <w:pPr>
        <w:pStyle w:val="NormalIndent"/>
        <w:rPr>
          <w:sz w:val="20"/>
          <w:szCs w:val="20"/>
        </w:rPr>
      </w:pPr>
      <w:r>
        <w:rPr>
          <w:sz w:val="20"/>
          <w:szCs w:val="20"/>
        </w:rPr>
        <w:t>Keith Holst</w:t>
        <w:tab/>
        <w:tab/>
        <w:tab/>
        <w:t>Hunter Shively</w:t>
      </w:r>
    </w:p>
    <w:p>
      <w:pPr>
        <w:pStyle w:val="NormalIndent"/>
        <w:rPr>
          <w:sz w:val="20"/>
          <w:szCs w:val="20"/>
        </w:rPr>
      </w:pPr>
      <w:r>
        <w:rPr>
          <w:sz w:val="20"/>
          <w:szCs w:val="20"/>
        </w:rPr>
        <w:t>Dick Jenkins</w:t>
        <w:tab/>
        <w:tab/>
        <w:tab/>
        <w:t>Geoff Storey</w:t>
      </w:r>
    </w:p>
    <w:p>
      <w:pPr>
        <w:pStyle w:val="NormalIndent"/>
        <w:rPr>
          <w:sz w:val="20"/>
          <w:szCs w:val="20"/>
        </w:rPr>
      </w:pPr>
      <w:r>
        <w:rPr>
          <w:sz w:val="20"/>
          <w:szCs w:val="20"/>
        </w:rPr>
        <w:t xml:space="preserve">Dan Junek </w:t>
        <w:tab/>
        <w:tab/>
        <w:tab/>
        <w:t>Judy Townsend</w:t>
      </w:r>
    </w:p>
    <w:p>
      <w:pPr>
        <w:pStyle w:val="NormalIndent"/>
        <w:rPr>
          <w:sz w:val="20"/>
          <w:szCs w:val="20"/>
        </w:rPr>
      </w:pPr>
      <w:r>
        <w:rPr>
          <w:sz w:val="20"/>
          <w:szCs w:val="20"/>
        </w:rPr>
        <w:t>Pete Keavey</w:t>
        <w:tab/>
        <w:tab/>
        <w:tab/>
        <w:t>Frank Vickers</w:t>
      </w:r>
    </w:p>
    <w:p>
      <w:pPr>
        <w:pStyle w:val="NormalIndent"/>
        <w:rPr>
          <w:sz w:val="20"/>
          <w:szCs w:val="20"/>
        </w:rPr>
      </w:pPr>
      <w:r>
        <w:rPr>
          <w:sz w:val="20"/>
          <w:szCs w:val="20"/>
        </w:rPr>
        <w:t>Andy Lewis</w:t>
        <w:tab/>
        <w:tab/>
        <w:tab/>
        <w:t>Elsa Villareal</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sectPr>
      <w:headerReference w:type="default" r:id="rId3"/>
      <w:headerReference w:type="first" r:id="rId4"/>
      <w:footerReference w:type="default" r:id="rId5"/>
      <w:footerReference w:type="first" r:id="rId6"/>
      <w:type w:val="nextPage"/>
      <w:pgSz w:w="12240" w:h="15840"/>
      <w:pgMar w:left="720" w:right="720" w:gutter="0" w:header="720" w:top="1170"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widowControl/>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-358140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2pt;mso-position-vertical-relative:text;margin-left:201.3pt;mso-position-horizontal-relative:page">
              <v:fill opacity="0f"/>
              <v:textbox inset="0in,0in,0in,0in">
                <w:txbxContent>
                  <w:p>
                    <w:pPr>
                      <w:pStyle w:val="Normal"/>
                      <w:widowContro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eastAsia="Times New Roman" w:cs="Times New Roman"/>
      <w:b/>
      <w:bCs/>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paragraph" w:styleId="Heading4">
    <w:name w:val="heading 4"/>
    <w:basedOn w:val="Normal"/>
    <w:next w:val="Normal"/>
    <w:qFormat/>
    <w:pPr>
      <w:keepNext w:val="true"/>
      <w:numPr>
        <w:ilvl w:val="3"/>
        <w:numId w:val="1"/>
      </w:numPr>
      <w:tabs>
        <w:tab w:val="clear" w:pos="540"/>
      </w:tabs>
      <w:ind w:hanging="720" w:start="720" w:end="0"/>
      <w:outlineLvl w:val="3"/>
    </w:pPr>
    <w:rPr>
      <w:rFonts w:ascii="Times New Roman" w:hAnsi="Times New Roman" w:eastAsia="Times New Roman" w:cs="Times New Roman"/>
    </w:rPr>
  </w:style>
  <w:style w:type="paragraph" w:styleId="Heading5">
    <w:name w:val="heading 5"/>
    <w:basedOn w:val="Normal"/>
    <w:next w:val="Normal"/>
    <w:qFormat/>
    <w:pPr>
      <w:keepNext w:val="true"/>
      <w:numPr>
        <w:ilvl w:val="4"/>
        <w:numId w:val="1"/>
      </w:numPr>
      <w:tabs>
        <w:tab w:val="clear" w:pos="540"/>
      </w:tabs>
      <w:ind w:hanging="1440" w:start="1440" w:end="0"/>
      <w:outlineLvl w:val="4"/>
    </w:pPr>
    <w:rPr>
      <w:rFonts w:ascii="Times New Roman" w:hAnsi="Times New Roman" w:eastAsia="Times New Roman" w:cs="Times New Roman"/>
    </w:rPr>
  </w:style>
  <w:style w:type="paragraph" w:styleId="Heading6">
    <w:name w:val="heading 6"/>
    <w:basedOn w:val="Normal"/>
    <w:next w:val="Normal"/>
    <w:qFormat/>
    <w:pPr>
      <w:keepNext w:val="true"/>
      <w:numPr>
        <w:ilvl w:val="5"/>
        <w:numId w:val="1"/>
      </w:numPr>
      <w:tabs>
        <w:tab w:val="clear" w:pos="540"/>
      </w:tabs>
      <w:ind w:hanging="1530" w:start="1440" w:end="0"/>
      <w:outlineLvl w:val="5"/>
    </w:pPr>
    <w:rPr>
      <w:rFonts w:ascii="Times New Roman" w:hAnsi="Times New Roman" w:eastAsia="Times New Roman" w:cs="Times New Roman"/>
    </w:rPr>
  </w:style>
  <w:style w:type="paragraph" w:styleId="Heading7">
    <w:name w:val="heading 7"/>
    <w:basedOn w:val="Normal"/>
    <w:next w:val="Normal"/>
    <w:qFormat/>
    <w:pPr>
      <w:keepNext w:val="true"/>
      <w:numPr>
        <w:ilvl w:val="6"/>
        <w:numId w:val="1"/>
      </w:numPr>
      <w:spacing w:lineRule="atLeast" w:line="240"/>
      <w:outlineLvl w:val="6"/>
    </w:pPr>
    <w:rPr>
      <w:b/>
      <w:bCs/>
      <w:color w:val="000000"/>
      <w:sz w:val="20"/>
      <w:szCs w:val="20"/>
    </w:rPr>
  </w:style>
  <w:style w:type="paragraph" w:styleId="Heading8">
    <w:name w:val="heading 8"/>
    <w:basedOn w:val="Normal"/>
    <w:next w:val="Normal"/>
    <w:qFormat/>
    <w:pPr>
      <w:keepNext w:val="true"/>
      <w:numPr>
        <w:ilvl w:val="7"/>
        <w:numId w:val="1"/>
      </w:numPr>
      <w:outlineLvl w:val="7"/>
    </w:pPr>
    <w:rPr>
      <w:b/>
      <w:bCs/>
      <w:sz w:val="20"/>
      <w:szCs w:val="20"/>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pPr>
    <w:rPr>
      <w:rFonts w:ascii="Times New Roman" w:hAnsi="Times New Roman" w:eastAsia="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BodyTextIndent">
    <w:name w:val="Body Text Indent"/>
    <w:basedOn w:val="Normal"/>
    <w:pPr>
      <w:tabs>
        <w:tab w:val="clear" w:pos="540"/>
      </w:tabs>
      <w:ind w:hanging="720" w:start="720" w:end="0"/>
    </w:pPr>
    <w:rPr>
      <w:rFonts w:ascii="Times New Roman" w:hAnsi="Times New Roman" w:eastAsia="Times New Roman" w:cs="Times New Roman"/>
    </w:rPr>
  </w:style>
  <w:style w:type="paragraph" w:styleId="BodyTextIndent2">
    <w:name w:val="Body Text Indent 2"/>
    <w:basedOn w:val="Normal"/>
    <w:qFormat/>
    <w:pPr>
      <w:tabs>
        <w:tab w:val="clear" w:pos="540"/>
      </w:tabs>
      <w:ind w:hanging="0" w:start="720" w:end="0"/>
    </w:pPr>
    <w:rPr>
      <w:rFonts w:ascii="Times New Roman" w:hAnsi="Times New Roman" w:eastAsia="Times New Roman" w:cs="Times New Roman"/>
    </w:rPr>
  </w:style>
  <w:style w:type="paragraph" w:styleId="BodyTextIndent3">
    <w:name w:val="Body Text Indent 3"/>
    <w:basedOn w:val="Normal"/>
    <w:qFormat/>
    <w:pPr>
      <w:ind w:hanging="720" w:start="72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2001-01-25T11:59:00Z</dcterms:created>
  <dc:creator>ECT</dc:creator>
  <dc:description/>
  <dc:language>en-CA</dc:language>
  <cp:lastModifiedBy>ECT</cp:lastModifiedBy>
  <cp:lastPrinted>2000-12-05T10:32:00Z</cp:lastPrinted>
  <dcterms:modified xsi:type="dcterms:W3CDTF">2001-02-01T15:35:00Z</dcterms:modified>
  <cp:revision>11</cp:revision>
  <dc:subject>Regulatory Filing Summary</dc:subject>
  <dc:title>Eron Capital &amp; Trade Resources Memo</dc:title>
</cp:coreProperties>
</file>