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 xml:space="preserve">Scott Neal, Hunter Shively, Tom Martin, Bob Shiring, Jeff Shankman, Sandra Brawner, Dick Jenkins, Fletch Sturm, Phllip Allen, Greg McClendon, Jean Mrha, Theresa Branney, Maria Garza, Judy </w:t>
            </w:r>
          </w:p>
          <w:p>
            <w:pPr>
              <w:pStyle w:val="To"/>
              <w:widowControl/>
              <w:ind w:end="-643"/>
              <w:rPr/>
            </w:pPr>
            <w:r>
              <w:rPr/>
              <w:t xml:space="preserve">Townsend, Chris Germany, Dan Junek, Elsa Villarreal, Kim Olinger, </w:t>
            </w:r>
          </w:p>
          <w:p>
            <w:pPr>
              <w:pStyle w:val="To"/>
              <w:widowControl/>
              <w:ind w:end="-643"/>
              <w:rPr/>
            </w:pPr>
            <w:r>
              <w:rPr/>
              <w:t>Griff Gray, Kathy Moore</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January 21,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
        <w:rPr>
          <w:sz w:val="20"/>
          <w:szCs w:val="20"/>
        </w:rPr>
      </w:pPr>
      <w:r>
        <w:rPr>
          <w:sz w:val="20"/>
          <w:szCs w:val="20"/>
        </w:rPr>
      </w:r>
    </w:p>
    <w:p>
      <w:pPr>
        <w:pStyle w:val="BodyTextIndent2"/>
        <w:widowControl/>
        <w:ind w:start="0" w:end="0"/>
        <w:rPr>
          <w:sz w:val="12"/>
          <w:szCs w:val="12"/>
        </w:rPr>
      </w:pPr>
      <w:r>
        <w:rPr>
          <w:sz w:val="12"/>
          <w:szCs w:val="12"/>
        </w:rPr>
      </w:r>
    </w:p>
    <w:p>
      <w:pPr>
        <w:pStyle w:val="Normal"/>
        <w:rPr>
          <w:b/>
          <w:bCs/>
          <w:sz w:val="20"/>
          <w:szCs w:val="20"/>
        </w:rPr>
      </w:pPr>
      <w:r>
        <w:rPr>
          <w:b/>
          <w:bCs/>
          <w:sz w:val="20"/>
          <w:szCs w:val="20"/>
        </w:rPr>
        <w:t>ANR Pipeline Company</w:t>
      </w:r>
    </w:p>
    <w:p>
      <w:pPr>
        <w:pStyle w:val="NormalIndent"/>
        <w:rPr>
          <w:sz w:val="20"/>
          <w:szCs w:val="20"/>
        </w:rPr>
      </w:pPr>
      <w:r>
        <w:rPr>
          <w:sz w:val="20"/>
          <w:szCs w:val="20"/>
        </w:rPr>
        <w:t>1/12/00 - FERC issued Notice of Amendment to ANR’s Wisconsin expansion.  ANR now proposes it be built in two phases, due to delay in SupplyLink and the fact that one shipper withdrew from the project.</w:t>
      </w:r>
    </w:p>
    <w:p>
      <w:pPr>
        <w:pStyle w:val="Normal"/>
        <w:rPr>
          <w:b/>
          <w:bCs/>
          <w:sz w:val="20"/>
          <w:szCs w:val="20"/>
        </w:rPr>
      </w:pPr>
      <w:r>
        <w:rPr>
          <w:b/>
          <w:bCs/>
          <w:sz w:val="20"/>
          <w:szCs w:val="20"/>
        </w:rPr>
      </w:r>
    </w:p>
    <w:p>
      <w:pPr>
        <w:pStyle w:val="Normal"/>
        <w:rPr>
          <w:b/>
          <w:bCs/>
          <w:sz w:val="20"/>
          <w:szCs w:val="20"/>
        </w:rPr>
      </w:pPr>
      <w:r>
        <w:rPr>
          <w:b/>
          <w:bCs/>
          <w:sz w:val="20"/>
          <w:szCs w:val="20"/>
        </w:rPr>
        <w:t>CNG Transmission Corporation</w:t>
      </w:r>
    </w:p>
    <w:p>
      <w:pPr>
        <w:pStyle w:val="NormalIndent"/>
        <w:rPr>
          <w:sz w:val="20"/>
          <w:szCs w:val="20"/>
        </w:rPr>
      </w:pPr>
      <w:r>
        <w:rPr>
          <w:sz w:val="20"/>
          <w:szCs w:val="20"/>
        </w:rPr>
        <w:t>12/21/99 - FERC issued an Order approving CNG’s Settlement, which will allow CNG to expand its system to replace an expiring Tennessee transportation agreement.</w:t>
      </w:r>
    </w:p>
    <w:p>
      <w:pPr>
        <w:pStyle w:val="NormalIndent"/>
        <w:rPr>
          <w:sz w:val="20"/>
          <w:szCs w:val="20"/>
        </w:rPr>
      </w:pPr>
      <w:r>
        <w:rPr>
          <w:sz w:val="20"/>
          <w:szCs w:val="20"/>
        </w:rPr>
      </w:r>
    </w:p>
    <w:p>
      <w:pPr>
        <w:pStyle w:val="NormalIndent"/>
        <w:rPr>
          <w:sz w:val="20"/>
          <w:szCs w:val="20"/>
        </w:rPr>
      </w:pPr>
      <w:r>
        <w:rPr>
          <w:sz w:val="20"/>
          <w:szCs w:val="20"/>
        </w:rPr>
        <w:t>12/22/99 - CNG filed its revised quarterly Section 18.2B Surcharge (effective Feb-April 2000) of $.02/Dt.  The previous charge was $.019/Dt.</w:t>
      </w:r>
    </w:p>
    <w:p>
      <w:pPr>
        <w:pStyle w:val="NormalIndent"/>
        <w:rPr>
          <w:sz w:val="20"/>
          <w:szCs w:val="20"/>
        </w:rPr>
      </w:pPr>
      <w:r>
        <w:rPr>
          <w:sz w:val="20"/>
          <w:szCs w:val="20"/>
        </w:rPr>
      </w:r>
    </w:p>
    <w:p>
      <w:pPr>
        <w:pStyle w:val="NormalIndent"/>
        <w:rPr>
          <w:sz w:val="20"/>
          <w:szCs w:val="20"/>
        </w:rPr>
      </w:pPr>
      <w:r>
        <w:rPr>
          <w:sz w:val="20"/>
          <w:szCs w:val="20"/>
        </w:rPr>
        <w:t>12/23/99 - CNG filed modifications to its Delivery Point Operator/Citygate Swing Customer proposal.  They clarified several issues like tolerance, penalties, etc.</w:t>
      </w:r>
    </w:p>
    <w:p>
      <w:pPr>
        <w:pStyle w:val="NormalIndent"/>
        <w:rPr>
          <w:sz w:val="20"/>
          <w:szCs w:val="20"/>
        </w:rPr>
      </w:pPr>
      <w:r>
        <w:rPr>
          <w:sz w:val="20"/>
          <w:szCs w:val="20"/>
        </w:rPr>
      </w:r>
    </w:p>
    <w:p>
      <w:pPr>
        <w:pStyle w:val="NormalIndent"/>
        <w:rPr>
          <w:sz w:val="20"/>
          <w:szCs w:val="20"/>
        </w:rPr>
      </w:pPr>
      <w:r>
        <w:rPr>
          <w:sz w:val="20"/>
          <w:szCs w:val="20"/>
        </w:rPr>
        <w:t>1/4/00 - CNG filed notice of a negotiated, non-conforming agreement with Sithe Power Marketing.</w:t>
      </w:r>
    </w:p>
    <w:p>
      <w:pPr>
        <w:pStyle w:val="NormalIndent"/>
        <w:rPr>
          <w:sz w:val="20"/>
          <w:szCs w:val="20"/>
        </w:rPr>
      </w:pPr>
      <w:r>
        <w:rPr>
          <w:sz w:val="20"/>
          <w:szCs w:val="20"/>
        </w:rPr>
      </w:r>
    </w:p>
    <w:p>
      <w:pPr>
        <w:pStyle w:val="NormalIndent"/>
        <w:rPr>
          <w:sz w:val="20"/>
          <w:szCs w:val="20"/>
        </w:rPr>
      </w:pPr>
      <w:r>
        <w:rPr>
          <w:sz w:val="20"/>
          <w:szCs w:val="20"/>
        </w:rPr>
        <w:t>1/12/00 - CNG filed to place its Title Tracking Service into effect 1/13/00, and would begin offering TTT service on 2/1/00.  Remember that this is the service where FERC rejected its volumetric fee, but allowed CNG to re-file with some non-volumetric fee.</w:t>
      </w:r>
    </w:p>
    <w:p>
      <w:pPr>
        <w:pStyle w:val="NormalIndent"/>
        <w:rPr>
          <w:sz w:val="20"/>
          <w:szCs w:val="20"/>
        </w:rPr>
      </w:pPr>
      <w:r>
        <w:rPr>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12/27/99 - CIG filed revised Account #858 surcharges effective 1/1/00.</w:t>
      </w:r>
    </w:p>
    <w:p>
      <w:pPr>
        <w:pStyle w:val="NormalIndent"/>
        <w:rPr>
          <w:sz w:val="20"/>
          <w:szCs w:val="20"/>
        </w:rPr>
      </w:pPr>
      <w:r>
        <w:rPr>
          <w:sz w:val="20"/>
          <w:szCs w:val="20"/>
        </w:rPr>
      </w:r>
    </w:p>
    <w:p>
      <w:pPr>
        <w:pStyle w:val="Normal"/>
        <w:rPr>
          <w:b/>
          <w:bCs/>
          <w:sz w:val="20"/>
          <w:szCs w:val="20"/>
        </w:rPr>
      </w:pPr>
      <w:r>
        <w:rPr>
          <w:b/>
          <w:bCs/>
          <w:sz w:val="20"/>
          <w:szCs w:val="20"/>
        </w:rPr>
        <w:t>Columbia Gas Transmission Corporation</w:t>
      </w:r>
    </w:p>
    <w:p>
      <w:pPr>
        <w:pStyle w:val="NormalIndent"/>
        <w:rPr>
          <w:sz w:val="20"/>
          <w:szCs w:val="20"/>
        </w:rPr>
      </w:pPr>
      <w:r>
        <w:rPr>
          <w:sz w:val="20"/>
          <w:szCs w:val="20"/>
        </w:rPr>
        <w:t>12/17/99 - CGT and Transco finally executed an OBA.</w:t>
      </w:r>
    </w:p>
    <w:p>
      <w:pPr>
        <w:pStyle w:val="NormalIndent"/>
        <w:rPr>
          <w:sz w:val="20"/>
          <w:szCs w:val="20"/>
        </w:rPr>
      </w:pPr>
      <w:r>
        <w:rPr>
          <w:sz w:val="20"/>
          <w:szCs w:val="20"/>
        </w:rPr>
      </w:r>
    </w:p>
    <w:p>
      <w:pPr>
        <w:pStyle w:val="NormalIndent"/>
        <w:rPr>
          <w:sz w:val="20"/>
          <w:szCs w:val="20"/>
        </w:rPr>
      </w:pPr>
      <w:r>
        <w:rPr>
          <w:sz w:val="20"/>
          <w:szCs w:val="20"/>
        </w:rPr>
        <w:t>12/17/99 - CGT filed new tariff sheets reflecting a rate adjustment (slightly lower demand component) effective 1/1/00, reflecting the true up of the Settlement Component.</w:t>
      </w:r>
    </w:p>
    <w:p>
      <w:pPr>
        <w:pStyle w:val="NormalIndent"/>
        <w:rPr>
          <w:sz w:val="20"/>
          <w:szCs w:val="20"/>
        </w:rPr>
      </w:pPr>
      <w:r>
        <w:rPr>
          <w:sz w:val="20"/>
          <w:szCs w:val="20"/>
        </w:rPr>
      </w:r>
    </w:p>
    <w:p>
      <w:pPr>
        <w:pStyle w:val="NormalIndent"/>
        <w:rPr>
          <w:sz w:val="20"/>
          <w:szCs w:val="20"/>
        </w:rPr>
      </w:pPr>
      <w:r>
        <w:rPr>
          <w:sz w:val="20"/>
          <w:szCs w:val="20"/>
        </w:rPr>
        <w:t>12/30/99 - CGT made a limited Section 4 filing to adjust its base rates for environmental remediation charges.</w:t>
      </w:r>
    </w:p>
    <w:p>
      <w:pPr>
        <w:pStyle w:val="NormalIndent"/>
        <w:rPr>
          <w:sz w:val="20"/>
          <w:szCs w:val="20"/>
        </w:rPr>
      </w:pPr>
      <w:r>
        <w:rPr>
          <w:sz w:val="20"/>
          <w:szCs w:val="20"/>
        </w:rPr>
      </w:r>
    </w:p>
    <w:p>
      <w:pPr>
        <w:pStyle w:val="NormalIndent"/>
        <w:rPr>
          <w:sz w:val="20"/>
          <w:szCs w:val="20"/>
        </w:rPr>
      </w:pPr>
      <w:r>
        <w:rPr>
          <w:sz w:val="20"/>
          <w:szCs w:val="20"/>
        </w:rPr>
        <w:t>1/7/00 - CGT has filed for abandoment of the Cleveland Storage Field to CNR.  In conjunction with this, CGT has asked for authority to sell 830 MMcf of base gas, but it doesn’t say when exactly this would be.</w:t>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
        <w:rPr>
          <w:b/>
          <w:bCs/>
          <w:sz w:val="18"/>
          <w:szCs w:val="18"/>
        </w:rPr>
      </w:pPr>
      <w:r>
        <w:rPr>
          <w:b/>
          <w:bCs/>
          <w:sz w:val="18"/>
          <w:szCs w:val="18"/>
        </w:rPr>
        <w:t>East Tennessee Natural Gas Company</w:t>
      </w:r>
    </w:p>
    <w:p>
      <w:pPr>
        <w:pStyle w:val="NormalIndent"/>
        <w:rPr>
          <w:sz w:val="20"/>
          <w:szCs w:val="20"/>
        </w:rPr>
      </w:pPr>
      <w:r>
        <w:rPr>
          <w:sz w:val="20"/>
          <w:szCs w:val="20"/>
        </w:rPr>
        <w:t>12/23/99 - East Tennessee filed details of its Rocky Top Expansion Project.  Eight Shippers signed on during the open season for a total of 36,493/day for 10 years.</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12/22/99 - FERC deferred the effective date of the fuel rate change until FERC issues its ruling on rehearing requests.</w:t>
      </w:r>
    </w:p>
    <w:p>
      <w:pPr>
        <w:pStyle w:val="NormalIndent"/>
        <w:rPr>
          <w:sz w:val="20"/>
          <w:szCs w:val="20"/>
        </w:rPr>
      </w:pPr>
      <w:r>
        <w:rPr>
          <w:sz w:val="20"/>
          <w:szCs w:val="20"/>
        </w:rPr>
      </w:r>
    </w:p>
    <w:p>
      <w:pPr>
        <w:pStyle w:val="NormalIndent"/>
        <w:rPr>
          <w:sz w:val="20"/>
          <w:szCs w:val="20"/>
        </w:rPr>
      </w:pPr>
      <w:r>
        <w:rPr>
          <w:sz w:val="20"/>
          <w:szCs w:val="20"/>
        </w:rPr>
        <w:t>12/28/99 - EPNG filed notice of two new negotiated rate agreements effective 1/1/00.  The first is with Tenaska for 57,646/day, demand charge = $.0520-$.0548, usage charge = $.0052-$.008 for service from Permian to various West Texas interconnects.  The other is with West Texas Gas for 26,250/d, demand = $.042-$.0448, usage = $.0052-$.008 for service from Permian to WTG.</w:t>
      </w:r>
    </w:p>
    <w:p>
      <w:pPr>
        <w:pStyle w:val="Normal"/>
        <w:rPr>
          <w:b/>
          <w:bCs/>
          <w:sz w:val="20"/>
          <w:szCs w:val="20"/>
        </w:rPr>
      </w:pPr>
      <w:r>
        <w:rPr>
          <w:b/>
          <w:bCs/>
          <w:sz w:val="20"/>
          <w:szCs w:val="20"/>
        </w:rPr>
      </w:r>
    </w:p>
    <w:p>
      <w:pPr>
        <w:pStyle w:val="Normal"/>
        <w:rPr>
          <w:b/>
          <w:bCs/>
          <w:sz w:val="20"/>
          <w:szCs w:val="20"/>
        </w:rPr>
      </w:pPr>
      <w:r>
        <w:rPr>
          <w:b/>
          <w:bCs/>
          <w:sz w:val="20"/>
          <w:szCs w:val="20"/>
        </w:rPr>
        <w:t>Iroquois Gas Transmission System, LP</w:t>
      </w:r>
    </w:p>
    <w:p>
      <w:pPr>
        <w:pStyle w:val="NormalIndent"/>
        <w:rPr>
          <w:sz w:val="20"/>
          <w:szCs w:val="20"/>
        </w:rPr>
      </w:pPr>
      <w:r>
        <w:rPr>
          <w:sz w:val="20"/>
          <w:szCs w:val="20"/>
        </w:rPr>
        <w:t>12/17/99 - Iroquois filed an Offer of Settlement providing for rate reductions on 1/1/01, 1/1/02 and 1/1/03.  There is a rate moratorium until 1/1/04. They also will not seek to recover any Legal Defense Costs.</w:t>
      </w:r>
    </w:p>
    <w:p>
      <w:pPr>
        <w:pStyle w:val="NormalIndent"/>
        <w:rPr>
          <w:b/>
          <w:bCs/>
          <w:sz w:val="20"/>
          <w:szCs w:val="20"/>
        </w:rPr>
      </w:pPr>
      <w:r>
        <w:rPr>
          <w:b/>
          <w:bCs/>
          <w:sz w:val="20"/>
          <w:szCs w:val="20"/>
        </w:rPr>
      </w:r>
    </w:p>
    <w:p>
      <w:pPr>
        <w:pStyle w:val="Normal"/>
        <w:rPr>
          <w:b/>
          <w:bCs/>
          <w:sz w:val="20"/>
          <w:szCs w:val="20"/>
        </w:rPr>
      </w:pPr>
      <w:r>
        <w:rPr>
          <w:b/>
          <w:bCs/>
          <w:sz w:val="20"/>
          <w:szCs w:val="20"/>
        </w:rPr>
        <w:t>Kern River Gas Transmission Company</w:t>
      </w:r>
    </w:p>
    <w:p>
      <w:pPr>
        <w:pStyle w:val="NormalIndent"/>
        <w:rPr>
          <w:b/>
          <w:bCs/>
          <w:sz w:val="20"/>
          <w:szCs w:val="20"/>
        </w:rPr>
      </w:pPr>
      <w:r>
        <w:rPr>
          <w:sz w:val="20"/>
          <w:szCs w:val="20"/>
        </w:rPr>
        <w:t>12/30/99 - Kern is filing for approval for negotiated rates and to specify certain types of discounts that will not have to be filed as non-conforming agreements.</w:t>
      </w:r>
    </w:p>
    <w:p>
      <w:pPr>
        <w:pStyle w:val="NormalIndent"/>
        <w:rPr>
          <w:b/>
          <w:bCs/>
          <w:sz w:val="20"/>
          <w:szCs w:val="20"/>
        </w:rPr>
      </w:pPr>
      <w:r>
        <w:rPr>
          <w:b/>
          <w:bCs/>
          <w:sz w:val="20"/>
          <w:szCs w:val="20"/>
        </w:rPr>
      </w:r>
    </w:p>
    <w:p>
      <w:pPr>
        <w:pStyle w:val="Normal"/>
        <w:rPr>
          <w:sz w:val="20"/>
          <w:szCs w:val="20"/>
        </w:rPr>
      </w:pPr>
      <w:r>
        <w:rPr>
          <w:b/>
          <w:bCs/>
          <w:sz w:val="20"/>
          <w:szCs w:val="20"/>
        </w:rPr>
        <w:t xml:space="preserve">KN Interstate Gas Transmission </w:t>
      </w:r>
    </w:p>
    <w:p>
      <w:pPr>
        <w:pStyle w:val="NormalIndent"/>
        <w:rPr>
          <w:sz w:val="20"/>
          <w:szCs w:val="20"/>
        </w:rPr>
      </w:pPr>
      <w:r>
        <w:rPr>
          <w:sz w:val="20"/>
          <w:szCs w:val="20"/>
        </w:rPr>
        <w:t>12/22/99 - FERC approved KN’s settlement rates.  KN has agreed to no new Section 4 rate case or change in mainline fuel percentages for five years.</w:t>
      </w:r>
    </w:p>
    <w:p>
      <w:pPr>
        <w:pStyle w:val="NormalIndent"/>
        <w:rPr>
          <w:sz w:val="20"/>
          <w:szCs w:val="20"/>
        </w:rPr>
      </w:pPr>
      <w:r>
        <w:rPr>
          <w:sz w:val="20"/>
          <w:szCs w:val="20"/>
        </w:rPr>
      </w:r>
    </w:p>
    <w:p>
      <w:pPr>
        <w:pStyle w:val="NormalIndent"/>
        <w:rPr>
          <w:sz w:val="20"/>
          <w:szCs w:val="20"/>
        </w:rPr>
      </w:pPr>
      <w:r>
        <w:rPr>
          <w:sz w:val="20"/>
          <w:szCs w:val="20"/>
        </w:rPr>
        <w:t>12/29/99 - KN filed tariff sheets implementing Settlement Rates with various effective dates (8/1/98, 1/1/99, 6/1/99, 7/1/99, 1/1/00).</w:t>
      </w:r>
    </w:p>
    <w:p>
      <w:pPr>
        <w:pStyle w:val="NormalIndent"/>
        <w:rPr>
          <w:sz w:val="20"/>
          <w:szCs w:val="20"/>
        </w:rPr>
      </w:pPr>
      <w:r>
        <w:rPr>
          <w:sz w:val="20"/>
          <w:szCs w:val="20"/>
        </w:rPr>
      </w:r>
    </w:p>
    <w:p>
      <w:pPr>
        <w:pStyle w:val="Normal"/>
        <w:rPr>
          <w:b/>
          <w:bCs/>
          <w:sz w:val="20"/>
          <w:szCs w:val="20"/>
        </w:rPr>
      </w:pPr>
      <w:r>
        <w:rPr>
          <w:b/>
          <w:bCs/>
          <w:sz w:val="20"/>
          <w:szCs w:val="20"/>
        </w:rPr>
        <w:t>Koch Gateway Pipeline Company</w:t>
      </w:r>
    </w:p>
    <w:p>
      <w:pPr>
        <w:pStyle w:val="NormalIndent"/>
        <w:rPr>
          <w:sz w:val="20"/>
          <w:szCs w:val="20"/>
        </w:rPr>
      </w:pPr>
      <w:r>
        <w:rPr>
          <w:sz w:val="20"/>
          <w:szCs w:val="20"/>
        </w:rPr>
        <w:t>Koch filed notice of negotiated rate deals (PAL options) with Koch Energy Trading effective 1/1/00.  KET pays an option fee of $.01 to lock in a PAL rate of $.01 for parking in January and redelivery in May 2000 if they choose.  If they do choose to exercise the option they must notify Koch Gateway of the NYMEX contracts executed, then pay Gateway 90% of the spread in excess of the option fee paid.  The volume allowed was 2 Bcf.</w:t>
      </w:r>
    </w:p>
    <w:p>
      <w:pPr>
        <w:pStyle w:val="NormalIndent"/>
        <w:rPr>
          <w:sz w:val="20"/>
          <w:szCs w:val="20"/>
        </w:rPr>
      </w:pPr>
      <w:r>
        <w:rPr>
          <w:sz w:val="20"/>
          <w:szCs w:val="20"/>
        </w:rPr>
      </w:r>
    </w:p>
    <w:p>
      <w:pPr>
        <w:pStyle w:val="NormalIndent"/>
        <w:rPr>
          <w:b/>
          <w:bCs/>
          <w:sz w:val="20"/>
          <w:szCs w:val="20"/>
        </w:rPr>
      </w:pPr>
      <w:r>
        <w:rPr>
          <w:sz w:val="20"/>
          <w:szCs w:val="20"/>
        </w:rPr>
        <w:t>12/22/99 - FERC has several questions about Koch’s negotiated PAL deal with Koch Energy Trading, especially as it relates to the option fee and the sharing of the spread obtained from execution of NYMEX contracts.  It requires Koch to answer several questions about the treatment of profit, how it is physically handled, etc.</w:t>
      </w:r>
    </w:p>
    <w:p>
      <w:pPr>
        <w:pStyle w:val="NormalIndent"/>
        <w:rPr>
          <w:b/>
          <w:bCs/>
          <w:sz w:val="20"/>
          <w:szCs w:val="20"/>
        </w:rPr>
      </w:pPr>
      <w:r>
        <w:rPr>
          <w:b/>
          <w:bCs/>
          <w:sz w:val="20"/>
          <w:szCs w:val="20"/>
        </w:rPr>
      </w:r>
    </w:p>
    <w:p>
      <w:pPr>
        <w:pStyle w:val="Normal"/>
        <w:rPr>
          <w:b/>
          <w:bCs/>
          <w:sz w:val="20"/>
          <w:szCs w:val="20"/>
        </w:rPr>
      </w:pPr>
      <w:r>
        <w:rPr>
          <w:b/>
          <w:bCs/>
          <w:sz w:val="20"/>
          <w:szCs w:val="20"/>
        </w:rPr>
        <w:t>National Fuel Gas Supply Corporation</w:t>
      </w:r>
    </w:p>
    <w:p>
      <w:pPr>
        <w:pStyle w:val="NormalIndent"/>
        <w:rPr>
          <w:sz w:val="20"/>
          <w:szCs w:val="20"/>
        </w:rPr>
      </w:pPr>
      <w:r>
        <w:rPr>
          <w:sz w:val="20"/>
          <w:szCs w:val="20"/>
        </w:rPr>
        <w:t>1/5/00 - National Fuel  filed its rate adjustments effective 1/1/00 revising its Amortization Surcharge to $.0852 and its Interruptible Gathering rate to $.13.</w:t>
      </w:r>
    </w:p>
    <w:p>
      <w:pPr>
        <w:pStyle w:val="NormalIndent"/>
        <w:rPr>
          <w:b/>
          <w:bCs/>
          <w:sz w:val="20"/>
          <w:szCs w:val="20"/>
        </w:rPr>
      </w:pPr>
      <w:r>
        <w:rPr>
          <w:b/>
          <w:bCs/>
          <w:sz w:val="20"/>
          <w:szCs w:val="20"/>
        </w:rPr>
      </w:r>
    </w:p>
    <w:p>
      <w:pPr>
        <w:pStyle w:val="Normal"/>
        <w:rPr>
          <w:b/>
          <w:bCs/>
          <w:sz w:val="20"/>
          <w:szCs w:val="20"/>
        </w:rPr>
      </w:pPr>
      <w:r>
        <w:rPr>
          <w:b/>
          <w:bCs/>
          <w:sz w:val="20"/>
          <w:szCs w:val="20"/>
        </w:rPr>
        <w:t>Natural Gas Pipeline Company of America</w:t>
      </w:r>
    </w:p>
    <w:p>
      <w:pPr>
        <w:pStyle w:val="NormalIndent"/>
        <w:rPr>
          <w:sz w:val="20"/>
          <w:szCs w:val="20"/>
        </w:rPr>
      </w:pPr>
      <w:r>
        <w:rPr>
          <w:sz w:val="20"/>
          <w:szCs w:val="20"/>
        </w:rPr>
        <w:t>FERC rejected NGPL’s proposal for IBS (Interruptible Balancing Service).  NGPL may re-file, but must include more information.</w:t>
      </w:r>
    </w:p>
    <w:p>
      <w:pPr>
        <w:pStyle w:val="NormalIndent"/>
        <w:rPr>
          <w:sz w:val="20"/>
          <w:szCs w:val="20"/>
        </w:rPr>
      </w:pPr>
      <w:r>
        <w:rPr>
          <w:sz w:val="20"/>
          <w:szCs w:val="20"/>
        </w:rPr>
      </w:r>
    </w:p>
    <w:p>
      <w:pPr>
        <w:pStyle w:val="NormalIndent"/>
        <w:rPr>
          <w:b/>
          <w:bCs/>
          <w:sz w:val="20"/>
          <w:szCs w:val="20"/>
        </w:rPr>
      </w:pPr>
      <w:r>
        <w:rPr>
          <w:sz w:val="20"/>
          <w:szCs w:val="20"/>
        </w:rPr>
        <w:t>1/4/00 - NGPL filed notice of negotiated rate deals with Peoples and North Shore effective 1/1/00 through 4/30/05 from Gage to the citygate.</w:t>
      </w:r>
    </w:p>
    <w:p>
      <w:pPr>
        <w:pStyle w:val="NormalIndent"/>
        <w:rPr>
          <w:b/>
          <w:bCs/>
          <w:sz w:val="20"/>
          <w:szCs w:val="20"/>
        </w:rPr>
      </w:pPr>
      <w:r>
        <w:rPr>
          <w:b/>
          <w:bCs/>
          <w:sz w:val="20"/>
          <w:szCs w:val="20"/>
        </w:rPr>
      </w:r>
    </w:p>
    <w:p>
      <w:pPr>
        <w:pStyle w:val="Normal"/>
        <w:rPr>
          <w:b/>
          <w:bCs/>
          <w:sz w:val="20"/>
          <w:szCs w:val="20"/>
        </w:rPr>
      </w:pPr>
      <w:r>
        <w:rPr>
          <w:b/>
          <w:bCs/>
          <w:sz w:val="20"/>
          <w:szCs w:val="20"/>
        </w:rPr>
        <w:t xml:space="preserve">Northern Natural Gas Company </w:t>
      </w:r>
    </w:p>
    <w:p>
      <w:pPr>
        <w:pStyle w:val="NormalIndent"/>
        <w:rPr>
          <w:sz w:val="20"/>
          <w:szCs w:val="20"/>
        </w:rPr>
      </w:pPr>
      <w:r>
        <w:rPr>
          <w:sz w:val="20"/>
          <w:szCs w:val="20"/>
        </w:rPr>
        <w:t>12/27/99 - FERC accepted NNG’s tariff regarding its System Balancing Agreement surcharge for 2000, subject to refund.  NNG must provide additional info regarding prudence and level of the SBA costs, as requested by the Northern Municipal Distributors Group and the Midwest Region Gas Task Force Association.</w:t>
      </w:r>
    </w:p>
    <w:p>
      <w:pPr>
        <w:pStyle w:val="NormalIndent"/>
        <w:rPr>
          <w:sz w:val="20"/>
          <w:szCs w:val="20"/>
        </w:rPr>
      </w:pPr>
      <w:r>
        <w:rPr>
          <w:sz w:val="20"/>
          <w:szCs w:val="20"/>
        </w:rPr>
      </w:r>
    </w:p>
    <w:p>
      <w:pPr>
        <w:pStyle w:val="NormalIndent"/>
        <w:rPr>
          <w:sz w:val="20"/>
          <w:szCs w:val="20"/>
        </w:rPr>
      </w:pPr>
      <w:r>
        <w:rPr>
          <w:sz w:val="20"/>
          <w:szCs w:val="20"/>
        </w:rPr>
        <w:t>12/30/99 - NNG filed notice of a negotiated rate with Wisconsin Power &amp; Light for $9300/d from Ventura to WP&amp;L.  The rate is formula based with a minimum of $.03; if formula results in a rate greater than $.05, there would be a sharing mechanism for amount over $.05.</w:t>
      </w:r>
    </w:p>
    <w:p>
      <w:pPr>
        <w:pStyle w:val="NormalIndent"/>
        <w:rPr>
          <w:sz w:val="20"/>
          <w:szCs w:val="20"/>
        </w:rPr>
      </w:pPr>
      <w:r>
        <w:rPr>
          <w:sz w:val="20"/>
          <w:szCs w:val="20"/>
        </w:rPr>
      </w:r>
    </w:p>
    <w:p>
      <w:pPr>
        <w:pStyle w:val="Normal"/>
        <w:rPr>
          <w:b/>
          <w:bCs/>
          <w:sz w:val="20"/>
          <w:szCs w:val="20"/>
        </w:rPr>
      </w:pPr>
      <w:r>
        <w:rPr>
          <w:b/>
          <w:bCs/>
          <w:sz w:val="20"/>
          <w:szCs w:val="20"/>
        </w:rPr>
        <w:t>Northern Natural Gas Company (Continued)</w:t>
      </w:r>
    </w:p>
    <w:p>
      <w:pPr>
        <w:pStyle w:val="NormalIndent"/>
        <w:rPr>
          <w:sz w:val="20"/>
          <w:szCs w:val="20"/>
        </w:rPr>
      </w:pPr>
      <w:r>
        <w:rPr>
          <w:sz w:val="20"/>
          <w:szCs w:val="20"/>
        </w:rPr>
        <w:t>12/29/99 - NNG filed for permission to add a new category of discount (rates based on published index prices or other agreed upon reference points) that would not have to be filed as non-conforming.</w:t>
      </w:r>
    </w:p>
    <w:p>
      <w:pPr>
        <w:pStyle w:val="NormalIndent"/>
        <w:rPr>
          <w:sz w:val="20"/>
          <w:szCs w:val="20"/>
        </w:rPr>
      </w:pPr>
      <w:r>
        <w:rPr>
          <w:sz w:val="20"/>
          <w:szCs w:val="20"/>
        </w:rPr>
      </w:r>
    </w:p>
    <w:p>
      <w:pPr>
        <w:pStyle w:val="Normal"/>
        <w:rPr>
          <w:b/>
          <w:bCs/>
          <w:sz w:val="20"/>
          <w:szCs w:val="20"/>
        </w:rPr>
      </w:pPr>
      <w:r>
        <w:rPr>
          <w:b/>
          <w:bCs/>
          <w:sz w:val="20"/>
          <w:szCs w:val="20"/>
        </w:rPr>
        <w:t>Panhandle Eastern Pipe Line Company</w:t>
      </w:r>
    </w:p>
    <w:p>
      <w:pPr>
        <w:pStyle w:val="NormalIndent"/>
        <w:rPr/>
      </w:pPr>
      <w:r>
        <w:rPr>
          <w:sz w:val="20"/>
          <w:szCs w:val="20"/>
        </w:rPr>
        <w:t xml:space="preserve">1/10/00 - PEPL submitted proposal on a new hourly firm service.  The service includes a penalty for excess takes equal to $10/Dth or 10% of the North ECAR index, divided by 3.413. </w:t>
      </w:r>
      <w:r>
        <w:rPr>
          <w:b/>
          <w:bCs/>
          <w:sz w:val="20"/>
          <w:szCs w:val="20"/>
        </w:rPr>
        <w:t xml:space="preserve"> It will only allow one shipper contract at a delivery point because it can’t distinguish multiple contracts</w:t>
      </w:r>
      <w:r>
        <w:rPr>
          <w:sz w:val="20"/>
          <w:szCs w:val="20"/>
        </w:rPr>
        <w:t>.  Nominations must be submitted 3 hours before flow, and the HFT capacity will be eligible for capacity release.</w:t>
      </w:r>
    </w:p>
    <w:p>
      <w:pPr>
        <w:pStyle w:val="NormalIndent"/>
        <w:rPr>
          <w:sz w:val="20"/>
          <w:szCs w:val="20"/>
        </w:rPr>
      </w:pPr>
      <w:r>
        <w:rPr>
          <w:sz w:val="20"/>
          <w:szCs w:val="20"/>
        </w:rPr>
      </w:r>
    </w:p>
    <w:p>
      <w:pPr>
        <w:pStyle w:val="NormalIndent"/>
        <w:rPr>
          <w:sz w:val="20"/>
          <w:szCs w:val="20"/>
        </w:rPr>
      </w:pPr>
      <w:r>
        <w:rPr>
          <w:sz w:val="20"/>
          <w:szCs w:val="20"/>
        </w:rPr>
        <w:t>1/10/00 - FERC issued an Order permitting discount agreements to provide for adjustments to rate components (i.e., demand vs usage) to achieve an overall agreed to rate, but these rates must be within minimum and maximum range in the tariff.</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12/29/99 - PGT filed notice of negotiated rate with Reliant-Canada for January only from Stanfield to Malin.  The demand charge is the Daily Malin price minus the Daily Stanfield price minus variable minus $.04, with a minimum of zero.</w:t>
      </w:r>
    </w:p>
    <w:p>
      <w:pPr>
        <w:pStyle w:val="NormalIndent"/>
        <w:rPr>
          <w:sz w:val="20"/>
          <w:szCs w:val="20"/>
        </w:rPr>
      </w:pPr>
      <w:r>
        <w:rPr>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FERC approved an increase in fuel from 1.9% to 2.4%, subject to refund and filing of additional information.</w:t>
      </w:r>
    </w:p>
    <w:p>
      <w:pPr>
        <w:pStyle w:val="NormalIndent"/>
        <w:rPr>
          <w:sz w:val="20"/>
          <w:szCs w:val="20"/>
        </w:rPr>
      </w:pPr>
      <w:r>
        <w:rPr>
          <w:sz w:val="20"/>
          <w:szCs w:val="20"/>
        </w:rPr>
      </w:r>
    </w:p>
    <w:p>
      <w:pPr>
        <w:pStyle w:val="Normal"/>
        <w:rPr>
          <w:b/>
          <w:bCs/>
          <w:sz w:val="18"/>
          <w:szCs w:val="18"/>
        </w:rPr>
      </w:pPr>
      <w:r>
        <w:rPr>
          <w:b/>
          <w:bCs/>
          <w:sz w:val="18"/>
          <w:szCs w:val="18"/>
        </w:rPr>
        <w:t>Southern Natural Gas Company</w:t>
      </w:r>
    </w:p>
    <w:p>
      <w:pPr>
        <w:pStyle w:val="NormalIndent"/>
        <w:rPr>
          <w:sz w:val="20"/>
          <w:szCs w:val="20"/>
        </w:rPr>
      </w:pPr>
      <w:r>
        <w:rPr>
          <w:sz w:val="20"/>
          <w:szCs w:val="20"/>
        </w:rPr>
        <w:t>12/30/99 - Southern filed new tariff sheets reflecting a slight increase in the Southern Energy Cost Surcharge effective 1/1/00.</w:t>
      </w:r>
    </w:p>
    <w:p>
      <w:pPr>
        <w:pStyle w:val="NormalIndent"/>
        <w:rPr>
          <w:sz w:val="20"/>
          <w:szCs w:val="20"/>
        </w:rPr>
      </w:pPr>
      <w:r>
        <w:rPr>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1/7/00 - Tennessee filed for permission to build a lateral to connect to the proposed Stagecoach Storage Field in Tioga County, NY and Bradford County, PA.</w:t>
      </w:r>
    </w:p>
    <w:p>
      <w:pPr>
        <w:pStyle w:val="NormalIndent"/>
        <w:rPr>
          <w:sz w:val="20"/>
          <w:szCs w:val="20"/>
        </w:rPr>
      </w:pPr>
      <w:r>
        <w:rPr>
          <w:sz w:val="20"/>
          <w:szCs w:val="20"/>
        </w:rPr>
      </w:r>
    </w:p>
    <w:p>
      <w:pPr>
        <w:pStyle w:val="Normal"/>
        <w:rPr>
          <w:b/>
          <w:bCs/>
          <w:sz w:val="20"/>
          <w:szCs w:val="20"/>
        </w:rPr>
      </w:pPr>
      <w:r>
        <w:rPr>
          <w:b/>
          <w:bCs/>
          <w:sz w:val="20"/>
          <w:szCs w:val="20"/>
        </w:rPr>
        <w:t>Texas Eastern Transmission Corporation</w:t>
      </w:r>
    </w:p>
    <w:p>
      <w:pPr>
        <w:pStyle w:val="NormalIndent"/>
        <w:rPr>
          <w:sz w:val="20"/>
          <w:szCs w:val="20"/>
        </w:rPr>
      </w:pPr>
      <w:r>
        <w:rPr>
          <w:sz w:val="20"/>
          <w:szCs w:val="20"/>
        </w:rPr>
        <w:t>12/28/99 - TETCO filed its Annual Electric Power Cost Adjustments effective 2/1/00.</w:t>
      </w:r>
    </w:p>
    <w:p>
      <w:pPr>
        <w:pStyle w:val="NormalIndent"/>
        <w:rPr>
          <w:sz w:val="20"/>
          <w:szCs w:val="20"/>
        </w:rPr>
      </w:pPr>
      <w:r>
        <w:rPr>
          <w:sz w:val="20"/>
          <w:szCs w:val="20"/>
        </w:rPr>
      </w:r>
    </w:p>
    <w:p>
      <w:pPr>
        <w:pStyle w:val="Normal"/>
        <w:rPr>
          <w:b/>
          <w:bCs/>
          <w:sz w:val="20"/>
          <w:szCs w:val="20"/>
        </w:rPr>
      </w:pPr>
      <w:r>
        <w:rPr>
          <w:b/>
          <w:bCs/>
          <w:sz w:val="20"/>
          <w:szCs w:val="20"/>
        </w:rPr>
        <w:t>Texas Gas Transmission Corporation</w:t>
      </w:r>
    </w:p>
    <w:p>
      <w:pPr>
        <w:pStyle w:val="NormalIndent"/>
        <w:rPr>
          <w:sz w:val="20"/>
          <w:szCs w:val="20"/>
        </w:rPr>
      </w:pPr>
      <w:r>
        <w:rPr>
          <w:sz w:val="20"/>
          <w:szCs w:val="20"/>
        </w:rPr>
        <w:t>1/10/00 - There were many protests on TGT’s proposal for summer no notice service for electric generators.  FERC has suspended the implementation until 6/14/00 and called for a technical conference.</w:t>
      </w:r>
    </w:p>
    <w:p>
      <w:pPr>
        <w:pStyle w:val="NormalIndent"/>
        <w:rPr>
          <w:sz w:val="20"/>
          <w:szCs w:val="20"/>
        </w:rPr>
      </w:pPr>
      <w:r>
        <w:rPr>
          <w:sz w:val="20"/>
          <w:szCs w:val="20"/>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1/3/00 - Transco advised FERC that the spin down of its Tilden-McMullen Gathering System to Williams Gas Processing has been delayed until after 2/00, so Transco will file to adjust its rates.</w:t>
      </w:r>
    </w:p>
    <w:p>
      <w:pPr>
        <w:pStyle w:val="NormalIndent"/>
        <w:rPr>
          <w:sz w:val="20"/>
          <w:szCs w:val="20"/>
        </w:rPr>
      </w:pPr>
      <w:r>
        <w:rPr>
          <w:sz w:val="20"/>
          <w:szCs w:val="20"/>
        </w:rPr>
      </w:r>
    </w:p>
    <w:p>
      <w:pPr>
        <w:pStyle w:val="Normal"/>
        <w:rPr>
          <w:b/>
          <w:bCs/>
          <w:sz w:val="20"/>
          <w:szCs w:val="20"/>
        </w:rPr>
      </w:pPr>
      <w:r>
        <w:rPr>
          <w:b/>
          <w:bCs/>
          <w:sz w:val="20"/>
          <w:szCs w:val="20"/>
        </w:rPr>
        <w:t>Transwestern Pipeline Company</w:t>
      </w:r>
    </w:p>
    <w:p>
      <w:pPr>
        <w:pStyle w:val="NormalIndent"/>
        <w:rPr>
          <w:sz w:val="20"/>
          <w:szCs w:val="20"/>
        </w:rPr>
      </w:pPr>
      <w:r>
        <w:rPr>
          <w:sz w:val="20"/>
          <w:szCs w:val="20"/>
        </w:rPr>
        <w:t>1/10/00 - FERC again approved TW’s LFT service, and denied Socal’s request for rehearing.</w:t>
      </w:r>
    </w:p>
    <w:p>
      <w:pPr>
        <w:pStyle w:val="NormalIndent"/>
        <w:rPr>
          <w:sz w:val="20"/>
          <w:szCs w:val="20"/>
        </w:rPr>
      </w:pPr>
      <w:r>
        <w:rPr>
          <w:sz w:val="20"/>
          <w:szCs w:val="20"/>
        </w:rPr>
      </w:r>
    </w:p>
    <w:p>
      <w:pPr>
        <w:pStyle w:val="NormalIndent"/>
        <w:rPr>
          <w:sz w:val="20"/>
          <w:szCs w:val="20"/>
        </w:rPr>
      </w:pPr>
      <w:r>
        <w:rPr>
          <w:sz w:val="20"/>
          <w:szCs w:val="20"/>
        </w:rPr>
        <w:t>1/10/00 - FERC approved the Gallup expansion project.  TW must file the discounted rates done with shippers within 15 days.  Also, TW must roll in the project costs if it would result in lower rates for customers not covered by the settlement.  Also, the deal with Enron (Compression) Company must be restructured so TW will control the compressor motor.</w:t>
      </w:r>
    </w:p>
    <w:p>
      <w:pPr>
        <w:pStyle w:val="NormalIndent"/>
        <w:rPr>
          <w:sz w:val="20"/>
          <w:szCs w:val="20"/>
        </w:rPr>
      </w:pPr>
      <w:r>
        <w:rPr>
          <w:sz w:val="20"/>
          <w:szCs w:val="20"/>
        </w:rPr>
      </w:r>
    </w:p>
    <w:p>
      <w:pPr>
        <w:pStyle w:val="Normal"/>
        <w:rPr>
          <w:b/>
          <w:bCs/>
          <w:sz w:val="20"/>
          <w:szCs w:val="20"/>
        </w:rPr>
      </w:pPr>
      <w:r>
        <w:rPr>
          <w:b/>
          <w:bCs/>
          <w:sz w:val="20"/>
          <w:szCs w:val="20"/>
        </w:rPr>
        <w:t>Trunkline Gas Company</w:t>
      </w:r>
    </w:p>
    <w:p>
      <w:pPr>
        <w:pStyle w:val="NormalIndent"/>
        <w:rPr>
          <w:sz w:val="20"/>
          <w:szCs w:val="20"/>
        </w:rPr>
      </w:pPr>
      <w:r>
        <w:rPr>
          <w:sz w:val="20"/>
          <w:szCs w:val="20"/>
        </w:rPr>
        <w:t>1/10/00 - FERC issued an Order permitting discount agreements to provide for adjustments to rate components (i.e., demand vs usage) to achieve an overall agreed to rate, but these rates must be within minimum and maximum range in the tariff.</w:t>
      </w:r>
    </w:p>
    <w:p>
      <w:pPr>
        <w:pStyle w:val="NormalIndent"/>
        <w:rPr>
          <w:sz w:val="20"/>
          <w:szCs w:val="20"/>
        </w:rPr>
      </w:pPr>
      <w:r>
        <w:rPr>
          <w:sz w:val="20"/>
          <w:szCs w:val="20"/>
        </w:rPr>
      </w:r>
    </w:p>
    <w:p>
      <w:pPr>
        <w:pStyle w:val="NormalIndent"/>
        <w:rPr>
          <w:sz w:val="20"/>
          <w:szCs w:val="20"/>
        </w:rPr>
      </w:pPr>
      <w:r>
        <w:rPr>
          <w:sz w:val="20"/>
          <w:szCs w:val="20"/>
        </w:rPr>
        <w:t>1/12/00 - FERC issued an order on its initial decision in Trunkline’s rate case.  These are for rates that went into effect 8/1/96!  Several adjustments were ordered, so Trunkline must file revised tariff sheets within 30 days and refunds will follow if they are accepted.</w:t>
      </w:r>
    </w:p>
    <w:p>
      <w:pPr>
        <w:pStyle w:val="NormalIndent"/>
        <w:rPr>
          <w:sz w:val="20"/>
          <w:szCs w:val="20"/>
        </w:rPr>
      </w:pPr>
      <w:r>
        <w:rPr>
          <w:sz w:val="20"/>
          <w:szCs w:val="20"/>
        </w:rPr>
      </w:r>
    </w:p>
    <w:p>
      <w:pPr>
        <w:pStyle w:val="Normal"/>
        <w:rPr>
          <w:b/>
          <w:bCs/>
          <w:sz w:val="20"/>
          <w:szCs w:val="20"/>
        </w:rPr>
      </w:pPr>
      <w:r>
        <w:rPr>
          <w:b/>
          <w:bCs/>
          <w:sz w:val="20"/>
          <w:szCs w:val="20"/>
        </w:rPr>
        <w:t>Viking Gas Transmission Company</w:t>
      </w:r>
    </w:p>
    <w:p>
      <w:pPr>
        <w:pStyle w:val="NormalIndent"/>
        <w:rPr>
          <w:sz w:val="20"/>
          <w:szCs w:val="20"/>
        </w:rPr>
      </w:pPr>
      <w:r>
        <w:rPr>
          <w:sz w:val="20"/>
          <w:szCs w:val="20"/>
        </w:rPr>
        <w:t>12/29/99 - FERC approved Viking’s PAL service filing subject to their filing of workpapers showing estimated effect on revenue and expenses.</w:t>
      </w:r>
    </w:p>
    <w:p>
      <w:pPr>
        <w:pStyle w:val="NormalIndent"/>
        <w:rPr>
          <w:sz w:val="20"/>
          <w:szCs w:val="20"/>
        </w:rPr>
      </w:pPr>
      <w:r>
        <w:rPr>
          <w:sz w:val="20"/>
          <w:szCs w:val="20"/>
        </w:rPr>
      </w:r>
    </w:p>
    <w:p>
      <w:pPr>
        <w:pStyle w:val="Normal"/>
        <w:rPr>
          <w:b/>
          <w:bCs/>
          <w:sz w:val="20"/>
          <w:szCs w:val="20"/>
        </w:rPr>
      </w:pPr>
      <w:r>
        <w:rPr>
          <w:b/>
          <w:bCs/>
          <w:sz w:val="20"/>
          <w:szCs w:val="20"/>
        </w:rPr>
        <w:t>Williams Gas Pipelines Central, Inc.</w:t>
      </w:r>
    </w:p>
    <w:p>
      <w:pPr>
        <w:pStyle w:val="NormalIndent"/>
        <w:rPr>
          <w:sz w:val="20"/>
          <w:szCs w:val="20"/>
        </w:rPr>
      </w:pPr>
      <w:r>
        <w:rPr>
          <w:sz w:val="20"/>
          <w:szCs w:val="20"/>
        </w:rPr>
        <w:t>FERC approved Williams’ fuel increases effective  1/1/00, subject to refund.  Also, Williams must remove an out of period adjustment of 219,080 Dth, but this should not affect the rate much at all.</w:t>
      </w:r>
    </w:p>
    <w:p>
      <w:pPr>
        <w:pStyle w:val="NormalIndent"/>
        <w:rPr>
          <w:sz w:val="20"/>
          <w:szCs w:val="20"/>
        </w:rPr>
      </w:pPr>
      <w:r>
        <w:rPr>
          <w:sz w:val="20"/>
          <w:szCs w:val="20"/>
        </w:rPr>
      </w:r>
    </w:p>
    <w:p>
      <w:pPr>
        <w:pStyle w:val="NormalIndent"/>
        <w:rPr>
          <w:sz w:val="20"/>
          <w:szCs w:val="20"/>
        </w:rPr>
      </w:pPr>
      <w:r>
        <w:rPr>
          <w:sz w:val="20"/>
          <w:szCs w:val="20"/>
        </w:rPr>
        <w:t xml:space="preserve">12/30/99 - Since no parties sought rehearing, FERC issued final approval of Williams’ Gas Supply Realignment Costs effective 11/1/99.  </w:t>
      </w:r>
    </w:p>
    <w:p>
      <w:pPr>
        <w:pStyle w:val="NormalIndent"/>
        <w:rPr>
          <w:sz w:val="20"/>
          <w:szCs w:val="20"/>
        </w:rPr>
      </w:pPr>
      <w:r>
        <w:rPr>
          <w:sz w:val="20"/>
          <w:szCs w:val="20"/>
        </w:rPr>
      </w:r>
    </w:p>
    <w:p>
      <w:pPr>
        <w:pStyle w:val="Normal"/>
        <w:rPr>
          <w:b/>
          <w:bCs/>
          <w:sz w:val="20"/>
          <w:szCs w:val="20"/>
        </w:rPr>
      </w:pPr>
      <w:r>
        <w:rPr>
          <w:b/>
          <w:bCs/>
          <w:sz w:val="20"/>
          <w:szCs w:val="20"/>
        </w:rPr>
        <w:t>Williston Basin Interstate Pipeline Company</w:t>
      </w:r>
    </w:p>
    <w:p>
      <w:pPr>
        <w:pStyle w:val="NormalIndent"/>
        <w:rPr>
          <w:sz w:val="20"/>
          <w:szCs w:val="20"/>
        </w:rPr>
      </w:pPr>
      <w:r>
        <w:rPr>
          <w:sz w:val="20"/>
          <w:szCs w:val="20"/>
        </w:rPr>
        <w:t>12/22/99 - WB filed various changes to its pooling points, deleting Temple Plant, South Byron, Garland Field, Pearson Pratt A and Elk Basin Plant from their current respective pools, and renaming various receipt points.</w:t>
      </w:r>
    </w:p>
    <w:p>
      <w:pPr>
        <w:pStyle w:val="NormalIndent"/>
        <w:rPr>
          <w:sz w:val="20"/>
          <w:szCs w:val="20"/>
        </w:rPr>
      </w:pPr>
      <w:r>
        <w:rPr>
          <w:sz w:val="20"/>
          <w:szCs w:val="20"/>
        </w:rPr>
      </w:r>
    </w:p>
    <w:p>
      <w:pPr>
        <w:pStyle w:val="NormalIndent"/>
        <w:rPr>
          <w:sz w:val="20"/>
          <w:szCs w:val="20"/>
        </w:rPr>
      </w:pPr>
      <w:r>
        <w:rPr>
          <w:sz w:val="20"/>
          <w:szCs w:val="20"/>
        </w:rPr>
        <w:t>WB filed its revised fuel charges, effective 2/1/00.</w:t>
      </w:r>
    </w:p>
    <w:p>
      <w:pPr>
        <w:pStyle w:val="NormalIndent"/>
        <w:rPr>
          <w:sz w:val="20"/>
          <w:szCs w:val="20"/>
        </w:rPr>
      </w:pPr>
      <w:r>
        <w:rPr>
          <w:sz w:val="20"/>
          <w:szCs w:val="20"/>
        </w:rPr>
      </w:r>
    </w:p>
    <w:p>
      <w:pPr>
        <w:pStyle w:val="NormalIndent"/>
        <w:rPr>
          <w:sz w:val="20"/>
          <w:szCs w:val="20"/>
        </w:rPr>
      </w:pPr>
      <w:r>
        <w:rPr>
          <w:sz w:val="20"/>
          <w:szCs w:val="20"/>
        </w:rPr>
        <w:t>12/28/99 - FERC order accepts rate case effective 6/1/00, subject to refund and further hearings.</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12/29/99 - WIC submitted a compliance filing explaining discrepancies in fuel use in WIC’s previous filing to increase fuel percentages.</w:t>
      </w:r>
    </w:p>
    <w:p>
      <w:pPr>
        <w:pStyle w:val="NormalIndent"/>
        <w:rPr>
          <w:sz w:val="20"/>
          <w:szCs w:val="20"/>
        </w:rPr>
      </w:pPr>
      <w:r>
        <w:rPr>
          <w:sz w:val="20"/>
          <w:szCs w:val="20"/>
        </w:rPr>
      </w:r>
    </w:p>
    <w:p>
      <w:pPr>
        <w:pStyle w:val="NormalIndent"/>
        <w:rPr>
          <w:sz w:val="20"/>
          <w:szCs w:val="20"/>
        </w:rPr>
      </w:pPr>
      <w:r>
        <w:rPr>
          <w:sz w:val="20"/>
          <w:szCs w:val="20"/>
        </w:rPr>
        <w:t>1/6/00 - WIC filed to place its suspended rates into effect effective 1/1/00.</w:t>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2000-01-13T15:45:00Z</dcterms:created>
  <dc:creator>ECT</dc:creator>
  <dc:description/>
  <dc:language>en-CA</dc:language>
  <cp:lastModifiedBy>ECT</cp:lastModifiedBy>
  <cp:lastPrinted>2000-01-10T09:26:00Z</cp:lastPrinted>
  <dcterms:modified xsi:type="dcterms:W3CDTF">2000-01-26T12:46:00Z</dcterms:modified>
  <cp:revision>10</cp:revision>
  <dc:subject>Regulatory Filing Summary</dc:subject>
  <dc:title>Eron Capital &amp; Trade Resources Memo</dc:title>
</cp:coreProperties>
</file>