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Distribution</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ENA</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January 12, 2001</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Indent"/>
        <w:rPr>
          <w:sz w:val="20"/>
          <w:szCs w:val="20"/>
        </w:rPr>
      </w:pPr>
      <w:r>
        <w:rPr/>
        <w:t xml:space="preserve"> </w:t>
      </w:r>
    </w:p>
    <w:p>
      <w:pPr>
        <w:pStyle w:val="Normal"/>
        <w:rPr>
          <w:b/>
          <w:bCs/>
          <w:sz w:val="20"/>
          <w:szCs w:val="20"/>
        </w:rPr>
      </w:pPr>
      <w:r>
        <w:rPr>
          <w:b/>
          <w:bCs/>
          <w:sz w:val="20"/>
          <w:szCs w:val="20"/>
        </w:rPr>
        <w:t>ANR Pipeline Company</w:t>
      </w:r>
    </w:p>
    <w:p>
      <w:pPr>
        <w:pStyle w:val="NormalIndent"/>
        <w:rPr>
          <w:sz w:val="20"/>
          <w:szCs w:val="20"/>
        </w:rPr>
      </w:pPr>
      <w:r>
        <w:rPr>
          <w:sz w:val="20"/>
          <w:szCs w:val="20"/>
        </w:rPr>
        <w:t>12/21/00 - ANR filed notice of a change in the delivery point for two of its negotiated rate contracts.  It changed the delivery point from Lebanon CNG to the Lebanon Hub for its deals with Reliant Energy Services (several FT contracts with varying ending dates as far out as 3/31/04), and with Dynegy Marketing &amp; Trade (several FT contracts that go through 3/31/04).</w:t>
      </w:r>
    </w:p>
    <w:p>
      <w:pPr>
        <w:pStyle w:val="NormalIndent"/>
        <w:rPr>
          <w:sz w:val="20"/>
          <w:szCs w:val="20"/>
        </w:rPr>
      </w:pPr>
      <w:r>
        <w:rPr>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12/26/00 - FERC approved CIG’s fuel increase (from .7% to .78%) effective 1/1/01.</w:t>
      </w:r>
    </w:p>
    <w:p>
      <w:pPr>
        <w:pStyle w:val="NormalIndent"/>
        <w:rPr>
          <w:sz w:val="20"/>
          <w:szCs w:val="20"/>
        </w:rPr>
      </w:pPr>
      <w:r>
        <w:rPr>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t>Columbia Gulf Transmission Company</w:t>
      </w:r>
    </w:p>
    <w:p>
      <w:pPr>
        <w:pStyle w:val="NormalIndent"/>
        <w:rPr>
          <w:sz w:val="20"/>
          <w:szCs w:val="20"/>
        </w:rPr>
      </w:pPr>
      <w:r>
        <w:rPr>
          <w:sz w:val="20"/>
          <w:szCs w:val="20"/>
        </w:rPr>
        <w:t>12/4/00 - CGulf filed notice of a negotiated IT rate with Matrix Oil &amp; Gas.  Matrix is committing all of its production from EC 33 A-5 and A-5D wells to CGulf’s East Cameron Block 23 system, and will move it to either the onshore zone or a Zone 30 pool.  The agreement is for five years with a rate equal to the greater of $.02 or the difference between the monthly indices for Columbia Gulf and Tennessee with a max rate of $.06.</w:t>
      </w:r>
    </w:p>
    <w:p>
      <w:pPr>
        <w:pStyle w:val="Normal"/>
        <w:rPr>
          <w:b/>
          <w:bCs/>
          <w:sz w:val="20"/>
          <w:szCs w:val="20"/>
        </w:rPr>
      </w:pPr>
      <w:r>
        <w:rPr>
          <w:b/>
          <w:bCs/>
          <w:sz w:val="20"/>
          <w:szCs w:val="20"/>
        </w:rPr>
      </w:r>
    </w:p>
    <w:p>
      <w:pPr>
        <w:pStyle w:val="Normal"/>
        <w:rPr>
          <w:b/>
          <w:bCs/>
          <w:sz w:val="20"/>
          <w:szCs w:val="20"/>
        </w:rPr>
      </w:pPr>
      <w:r>
        <w:rPr>
          <w:b/>
          <w:bCs/>
          <w:sz w:val="20"/>
          <w:szCs w:val="20"/>
        </w:rPr>
        <w:t>El Paso Natural Gas Company</w:t>
      </w:r>
    </w:p>
    <w:p>
      <w:pPr>
        <w:pStyle w:val="NormalIndent"/>
        <w:rPr>
          <w:b/>
          <w:bCs/>
          <w:sz w:val="20"/>
          <w:szCs w:val="20"/>
        </w:rPr>
      </w:pPr>
      <w:r>
        <w:rPr>
          <w:sz w:val="20"/>
          <w:szCs w:val="20"/>
        </w:rPr>
        <w:t>12/8/00 - EPNG is revising its 11/28/00 filing on fuel to remove the Waha fuel costs related to the Waha Compressor Station effective 1/1/01, even though FERC has not granted abandonment authority yet.</w:t>
      </w:r>
    </w:p>
    <w:p>
      <w:pPr>
        <w:pStyle w:val="Normal"/>
        <w:rPr>
          <w:b/>
          <w:bCs/>
          <w:sz w:val="20"/>
          <w:szCs w:val="20"/>
        </w:rPr>
      </w:pPr>
      <w:r>
        <w:rPr>
          <w:b/>
          <w:bCs/>
          <w:sz w:val="20"/>
          <w:szCs w:val="20"/>
        </w:rPr>
      </w:r>
    </w:p>
    <w:p>
      <w:pPr>
        <w:pStyle w:val="Normal"/>
        <w:rPr>
          <w:b/>
          <w:bCs/>
          <w:sz w:val="20"/>
          <w:szCs w:val="20"/>
        </w:rPr>
      </w:pPr>
      <w:r>
        <w:rPr>
          <w:b/>
          <w:bCs/>
          <w:sz w:val="20"/>
          <w:szCs w:val="20"/>
        </w:rPr>
        <w:t>Koch Gateway Pipeline Company</w:t>
      </w:r>
    </w:p>
    <w:p>
      <w:pPr>
        <w:pStyle w:val="NormalIndent"/>
        <w:rPr>
          <w:sz w:val="20"/>
          <w:szCs w:val="20"/>
        </w:rPr>
      </w:pPr>
      <w:r>
        <w:rPr>
          <w:sz w:val="20"/>
          <w:szCs w:val="20"/>
        </w:rPr>
        <w:t xml:space="preserve">12/22/00 - Koch filed notice of three negotiated rate agreements.  </w:t>
      </w:r>
    </w:p>
    <w:p>
      <w:pPr>
        <w:pStyle w:val="NormalIndent"/>
        <w:rPr/>
      </w:pPr>
      <w:r>
        <w:rPr>
          <w:sz w:val="20"/>
          <w:szCs w:val="20"/>
        </w:rPr>
        <w:t xml:space="preserve">* The first is with </w:t>
      </w:r>
      <w:r>
        <w:rPr>
          <w:sz w:val="20"/>
          <w:szCs w:val="20"/>
          <w:u w:val="single"/>
        </w:rPr>
        <w:t>Mobile Energy LLC</w:t>
      </w:r>
      <w:r>
        <w:rPr>
          <w:sz w:val="20"/>
          <w:szCs w:val="20"/>
        </w:rPr>
        <w:t xml:space="preserve"> for volumes up to 34,000/d for 20 years beginning after start up and testing (est’d 3/1/01).  The rates are:  $.115 from Venice to MGSC at Whistler Junction (WJ); $.09 from Destin or Mobile Bay to WJ.  For any volumes that do not flow, there will be a monthly demand charge of $2.7375 for the Mobile Bay &amp; Destin capacity, and $3.4979 for Venice.  These are “all in” rates but are subject to Koch’s minimum tariff.</w:t>
      </w:r>
    </w:p>
    <w:p>
      <w:pPr>
        <w:pStyle w:val="NormalIndent"/>
        <w:rPr/>
      </w:pPr>
      <w:r>
        <w:rPr>
          <w:sz w:val="20"/>
          <w:szCs w:val="20"/>
        </w:rPr>
        <w:t xml:space="preserve">* The second deal is also with </w:t>
      </w:r>
      <w:r>
        <w:rPr>
          <w:sz w:val="20"/>
          <w:szCs w:val="20"/>
          <w:u w:val="single"/>
        </w:rPr>
        <w:t>Mobile Energy LLC</w:t>
      </w:r>
      <w:r>
        <w:rPr>
          <w:sz w:val="20"/>
          <w:szCs w:val="20"/>
        </w:rPr>
        <w:t xml:space="preserve"> for volumes up to 10,000/d for 20 years beginning plant start up (see above).  The “all in” rate is $.13/Dth from Henry Hub, Sea Robin-Erath, NGPL-Erath and Garden City/ Nautilus Pipeline to WJ with a monthly demand charge of $3.9542/Dth for any volumes not actually transported.</w:t>
      </w:r>
    </w:p>
    <w:p>
      <w:pPr>
        <w:pStyle w:val="NormalIndent"/>
        <w:rPr/>
      </w:pPr>
      <w:r>
        <w:rPr>
          <w:sz w:val="20"/>
          <w:szCs w:val="20"/>
        </w:rPr>
        <w:t xml:space="preserve">* The third deal is with </w:t>
      </w:r>
      <w:r>
        <w:rPr>
          <w:sz w:val="20"/>
          <w:szCs w:val="20"/>
          <w:u w:val="single"/>
        </w:rPr>
        <w:t>Koch Energy Trading</w:t>
      </w:r>
      <w:r>
        <w:rPr>
          <w:sz w:val="20"/>
          <w:szCs w:val="20"/>
        </w:rPr>
        <w:t xml:space="preserve"> for 60,000/d for a term beginning the later of 1/1/01 or the start up date of the Chalmette Refining liquids recovery unit, and ending August 31, 2002.  The “all in” rate is $.08 from Mobile Bay and $.095 from Venice, with a minimum rate if fuel costs are higher than these rates.  For all volumes not actually transported, the monthly demand charge is $1.5208/Dth (or $.05/MMBtu on a 100% load factor).</w:t>
      </w:r>
      <w:r>
        <w:br w:type="page"/>
      </w:r>
    </w:p>
    <w:p>
      <w:pPr>
        <w:pStyle w:val="Normal"/>
        <w:rPr>
          <w:b/>
          <w:bCs/>
          <w:sz w:val="20"/>
          <w:szCs w:val="20"/>
        </w:rPr>
      </w:pPr>
      <w:r>
        <w:rPr>
          <w:b/>
          <w:bCs/>
          <w:sz w:val="20"/>
          <w:szCs w:val="20"/>
        </w:rPr>
      </w:r>
    </w:p>
    <w:p>
      <w:pPr>
        <w:pStyle w:val="Normal"/>
        <w:rPr>
          <w:b/>
          <w:bCs/>
          <w:sz w:val="20"/>
          <w:szCs w:val="20"/>
        </w:rPr>
      </w:pPr>
      <w:r>
        <w:rPr>
          <w:b/>
          <w:bCs/>
          <w:sz w:val="20"/>
          <w:szCs w:val="20"/>
        </w:rPr>
        <w:t>Maritimes &amp; Northeast</w:t>
      </w:r>
    </w:p>
    <w:p>
      <w:pPr>
        <w:pStyle w:val="NormalIndent"/>
        <w:rPr>
          <w:sz w:val="20"/>
          <w:szCs w:val="20"/>
        </w:rPr>
      </w:pPr>
      <w:r>
        <w:rPr>
          <w:sz w:val="20"/>
          <w:szCs w:val="20"/>
        </w:rPr>
        <w:t>12/20/00 - M&amp;N filed notice of negotiated rate agreements with Duke Energy Trading and Sempra Energy Trading.  The deal with Duke is for 25,000/d from Calais to Veazie and the deal with Sempra is for 60,373/d from Calais to Dracut.  Both deals are for Dec 2000, have a $0.00 reservation rate, a usage rate of $.715, and both deals contain a minimum bill obligation:  Duke’s minimum bill is $110,825.00 and Sempra’s  is $894,867.54</w:t>
      </w:r>
    </w:p>
    <w:p>
      <w:pPr>
        <w:pStyle w:val="Normal"/>
        <w:rPr>
          <w:b/>
          <w:bCs/>
          <w:sz w:val="20"/>
          <w:szCs w:val="20"/>
        </w:rPr>
      </w:pPr>
      <w:r>
        <w:rPr>
          <w:b/>
          <w:bCs/>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12/6/00 - MRT filed revised tariff sheets reflecting the inclusion of 1.333 Bcf in the annual fuel tracker, for the  undercollection that occurred between 2/1/01 and 10/31/01.</w:t>
      </w:r>
    </w:p>
    <w:p>
      <w:pPr>
        <w:pStyle w:val="Normal"/>
        <w:rPr>
          <w:b/>
          <w:bCs/>
          <w:sz w:val="20"/>
          <w:szCs w:val="20"/>
        </w:rPr>
      </w:pPr>
      <w:r>
        <w:rPr>
          <w:b/>
          <w:bCs/>
          <w:sz w:val="20"/>
          <w:szCs w:val="20"/>
        </w:rPr>
      </w:r>
    </w:p>
    <w:p>
      <w:pPr>
        <w:pStyle w:val="Normal"/>
        <w:rPr>
          <w:b/>
          <w:bCs/>
          <w:sz w:val="20"/>
          <w:szCs w:val="20"/>
        </w:rPr>
      </w:pPr>
      <w:r>
        <w:rPr>
          <w:b/>
          <w:bCs/>
          <w:sz w:val="20"/>
          <w:szCs w:val="20"/>
        </w:rPr>
        <w:t>National Fuel Gas Supply</w:t>
      </w:r>
    </w:p>
    <w:p>
      <w:pPr>
        <w:pStyle w:val="NormalIndent"/>
        <w:rPr>
          <w:sz w:val="20"/>
          <w:szCs w:val="20"/>
        </w:rPr>
      </w:pPr>
      <w:r>
        <w:rPr>
          <w:sz w:val="20"/>
          <w:szCs w:val="20"/>
        </w:rPr>
        <w:t>12/22/00 - FERC approved the Transportation and Storage Cost Adjustment surcharge from a credit of $.0066/dth to a charge of $.0085/dth (total increase of $.0151/dth) effective 1/1/01.</w:t>
      </w:r>
    </w:p>
    <w:p>
      <w:pPr>
        <w:pStyle w:val="Normal"/>
        <w:rPr>
          <w:b/>
          <w:bCs/>
          <w:sz w:val="20"/>
          <w:szCs w:val="20"/>
        </w:rPr>
      </w:pPr>
      <w:r>
        <w:rPr>
          <w:b/>
          <w:bCs/>
          <w:sz w:val="20"/>
          <w:szCs w:val="20"/>
        </w:rPr>
      </w:r>
    </w:p>
    <w:p>
      <w:pPr>
        <w:pStyle w:val="Normal"/>
        <w:rPr>
          <w:b/>
          <w:bCs/>
          <w:sz w:val="20"/>
          <w:szCs w:val="20"/>
        </w:rPr>
      </w:pPr>
      <w:r>
        <w:rPr>
          <w:b/>
          <w:bCs/>
          <w:sz w:val="20"/>
          <w:szCs w:val="20"/>
        </w:rPr>
        <w:t>Natural Gas Pipeline Company of America</w:t>
      </w:r>
    </w:p>
    <w:p>
      <w:pPr>
        <w:pStyle w:val="NormalIndent"/>
        <w:rPr>
          <w:sz w:val="20"/>
          <w:szCs w:val="20"/>
        </w:rPr>
      </w:pPr>
      <w:r>
        <w:rPr>
          <w:sz w:val="20"/>
          <w:szCs w:val="20"/>
        </w:rPr>
        <w:t>12/15/00 - FERC reversed its 7/27/00 Order regarding NGPL’s FFTS service.  Negotiating the minimum and maximum number of available days for FFTS service during the month does not create a non-conforming agreement.  This means that NGPL does not have to file such agreements 30 days before commencement, nor at all if the conform to the pro forma agreement.</w:t>
      </w:r>
    </w:p>
    <w:p>
      <w:pPr>
        <w:pStyle w:val="Normal"/>
        <w:rPr>
          <w:b/>
          <w:bCs/>
          <w:sz w:val="20"/>
          <w:szCs w:val="20"/>
        </w:rPr>
      </w:pPr>
      <w:r>
        <w:rPr>
          <w:b/>
          <w:bCs/>
          <w:sz w:val="20"/>
          <w:szCs w:val="20"/>
        </w:rPr>
      </w:r>
    </w:p>
    <w:p>
      <w:pPr>
        <w:pStyle w:val="Normal"/>
        <w:rPr>
          <w:b/>
          <w:bCs/>
          <w:sz w:val="20"/>
          <w:szCs w:val="20"/>
        </w:rPr>
      </w:pPr>
      <w:r>
        <w:rPr>
          <w:b/>
          <w:bCs/>
          <w:sz w:val="20"/>
          <w:szCs w:val="20"/>
        </w:rPr>
        <w:t>Northern Border Pipeline Company</w:t>
      </w:r>
    </w:p>
    <w:p>
      <w:pPr>
        <w:pStyle w:val="NormalIndent"/>
        <w:rPr>
          <w:sz w:val="20"/>
          <w:szCs w:val="20"/>
        </w:rPr>
      </w:pPr>
      <w:r>
        <w:rPr>
          <w:sz w:val="20"/>
          <w:szCs w:val="20"/>
        </w:rPr>
        <w:t>12/28/00 - NB’s revised IT-1 base rates maximum ($.0438/100 dth miles) and minimum ($.0245/100 dth miles) revenue credit are effective 1/1/01.  These will be replaced with the settlement rates once they go into effect.</w:t>
      </w:r>
    </w:p>
    <w:p>
      <w:pPr>
        <w:pStyle w:val="Normal"/>
        <w:rPr>
          <w:b/>
          <w:bCs/>
          <w:sz w:val="20"/>
          <w:szCs w:val="20"/>
        </w:rPr>
      </w:pPr>
      <w:r>
        <w:rPr>
          <w:b/>
          <w:bCs/>
          <w:sz w:val="20"/>
          <w:szCs w:val="20"/>
        </w:rPr>
      </w:r>
    </w:p>
    <w:p>
      <w:pPr>
        <w:pStyle w:val="Normal"/>
        <w:rPr>
          <w:b/>
          <w:bCs/>
          <w:sz w:val="20"/>
          <w:szCs w:val="20"/>
        </w:rPr>
      </w:pPr>
      <w:r>
        <w:rPr>
          <w:b/>
          <w:bCs/>
          <w:sz w:val="20"/>
          <w:szCs w:val="20"/>
        </w:rPr>
        <w:t>Northern Natural Gas Company</w:t>
      </w:r>
    </w:p>
    <w:p>
      <w:pPr>
        <w:pStyle w:val="NormalIndent"/>
        <w:rPr/>
      </w:pPr>
      <w:r>
        <w:rPr>
          <w:sz w:val="20"/>
          <w:szCs w:val="20"/>
        </w:rPr>
        <w:t xml:space="preserve">12/22/00 - NNG filed notice of three negotiated rate agreements.  * The first is with </w:t>
      </w:r>
      <w:r>
        <w:rPr>
          <w:sz w:val="20"/>
          <w:szCs w:val="20"/>
          <w:u w:val="single"/>
        </w:rPr>
        <w:t>Oneok Energy Marketing</w:t>
      </w:r>
      <w:r>
        <w:rPr>
          <w:sz w:val="20"/>
          <w:szCs w:val="20"/>
        </w:rPr>
        <w:t xml:space="preserve"> for 10,000/d from TBPL-Beatrice to Demarcation, with a demand fee of $1.00/MMBtu/day for December 2000 only.  </w:t>
      </w:r>
    </w:p>
    <w:p>
      <w:pPr>
        <w:pStyle w:val="NormalIndent"/>
        <w:rPr/>
      </w:pPr>
      <w:r>
        <w:rPr>
          <w:sz w:val="20"/>
          <w:szCs w:val="20"/>
        </w:rPr>
        <w:t xml:space="preserve">* The second is with </w:t>
      </w:r>
      <w:r>
        <w:rPr>
          <w:sz w:val="20"/>
          <w:szCs w:val="20"/>
          <w:u w:val="single"/>
        </w:rPr>
        <w:t>Texaco Natural Gas</w:t>
      </w:r>
      <w:r>
        <w:rPr>
          <w:sz w:val="20"/>
          <w:szCs w:val="20"/>
        </w:rPr>
        <w:t xml:space="preserve"> for 5,000/d from Arkla-Redmoon and ONG 1-Woodward to PEPL-Mullinville for Dec 22, 2000 only at a total rate of $.43.  </w:t>
      </w:r>
    </w:p>
    <w:p>
      <w:pPr>
        <w:pStyle w:val="NormalIndent"/>
        <w:rPr/>
      </w:pPr>
      <w:r>
        <w:rPr>
          <w:sz w:val="20"/>
          <w:szCs w:val="20"/>
        </w:rPr>
        <w:t xml:space="preserve">* The third deal is with </w:t>
      </w:r>
      <w:r>
        <w:rPr>
          <w:sz w:val="20"/>
          <w:szCs w:val="20"/>
          <w:u w:val="single"/>
        </w:rPr>
        <w:t>OGE Energy Resources</w:t>
      </w:r>
      <w:r>
        <w:rPr>
          <w:sz w:val="20"/>
          <w:szCs w:val="20"/>
        </w:rPr>
        <w:t xml:space="preserve"> for 8,000/d from Oasis-Waha to PEPL-Mullinville for </w:t>
      </w:r>
    </w:p>
    <w:p>
      <w:pPr>
        <w:pStyle w:val="NormalIndent"/>
        <w:rPr>
          <w:sz w:val="20"/>
          <w:szCs w:val="20"/>
        </w:rPr>
      </w:pPr>
      <w:r>
        <w:rPr>
          <w:sz w:val="20"/>
          <w:szCs w:val="20"/>
        </w:rPr>
        <w:t>December 22, 2000 only at a total rate of $.45.</w:t>
      </w:r>
    </w:p>
    <w:p>
      <w:pPr>
        <w:pStyle w:val="NormalIndent"/>
        <w:rPr>
          <w:sz w:val="20"/>
          <w:szCs w:val="20"/>
        </w:rPr>
      </w:pPr>
      <w:r>
        <w:rPr>
          <w:sz w:val="20"/>
          <w:szCs w:val="20"/>
        </w:rPr>
      </w:r>
    </w:p>
    <w:p>
      <w:pPr>
        <w:pStyle w:val="Normal"/>
        <w:rPr>
          <w:b/>
          <w:bCs/>
          <w:sz w:val="20"/>
          <w:szCs w:val="20"/>
        </w:rPr>
      </w:pPr>
      <w:r>
        <w:rPr>
          <w:b/>
          <w:bCs/>
          <w:sz w:val="20"/>
          <w:szCs w:val="20"/>
        </w:rPr>
        <w:t>Ozark Gas Transmission, LLC</w:t>
      </w:r>
    </w:p>
    <w:p>
      <w:pPr>
        <w:pStyle w:val="NormalIndent"/>
        <w:rPr>
          <w:sz w:val="20"/>
          <w:szCs w:val="20"/>
        </w:rPr>
      </w:pPr>
      <w:r>
        <w:rPr>
          <w:sz w:val="20"/>
          <w:szCs w:val="20"/>
        </w:rPr>
        <w:t>12/15/00 - FERC approved Ozark’s uncontested settlement, with rates and fuel effective 11/1/00.  The max rates for FT service shall be a monthly demand rate of $7.93/Dth and a commodity rate of $.026  Firm deliveries to Arkansas end-use markets shall be no greater than $7.63/dth. . The max IT rate shall be $.2867/dth.</w:t>
      </w:r>
    </w:p>
    <w:p>
      <w:pPr>
        <w:pStyle w:val="Normal"/>
        <w:rPr>
          <w:b/>
          <w:bCs/>
          <w:sz w:val="20"/>
          <w:szCs w:val="20"/>
        </w:rPr>
      </w:pPr>
      <w:r>
        <w:rPr>
          <w:b/>
          <w:bCs/>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12/26/00 - FERC approved Questar’s decrease in fuel (from 1.4% to .8%) effective 1/1/01.</w:t>
      </w:r>
    </w:p>
    <w:p>
      <w:pPr>
        <w:pStyle w:val="Normal"/>
        <w:rPr>
          <w:b/>
          <w:bCs/>
          <w:sz w:val="20"/>
          <w:szCs w:val="20"/>
        </w:rPr>
      </w:pPr>
      <w:r>
        <w:rPr>
          <w:b/>
          <w:bCs/>
          <w:sz w:val="20"/>
          <w:szCs w:val="20"/>
        </w:rPr>
      </w:r>
    </w:p>
    <w:p>
      <w:pPr>
        <w:pStyle w:val="Normal"/>
        <w:rPr>
          <w:b/>
          <w:bCs/>
          <w:sz w:val="20"/>
          <w:szCs w:val="20"/>
        </w:rPr>
      </w:pPr>
      <w:r>
        <w:rPr>
          <w:b/>
          <w:bCs/>
          <w:sz w:val="20"/>
          <w:szCs w:val="20"/>
        </w:rPr>
        <w:t>Sea Robin Pipeline</w:t>
      </w:r>
    </w:p>
    <w:p>
      <w:pPr>
        <w:pStyle w:val="NormalIndent"/>
        <w:rPr>
          <w:sz w:val="20"/>
          <w:szCs w:val="20"/>
        </w:rPr>
      </w:pPr>
      <w:r>
        <w:rPr>
          <w:sz w:val="20"/>
          <w:szCs w:val="20"/>
        </w:rPr>
        <w:t>12/15/00 - Sea Robin’s rates that were filed 8/25/00 were rejected.  They must file a new Section 4 rate case, outlining cost of service and full details of the rates within 60 days.</w:t>
      </w:r>
    </w:p>
    <w:p>
      <w:pPr>
        <w:pStyle w:val="NormalIndent"/>
        <w:rPr>
          <w:sz w:val="20"/>
          <w:szCs w:val="20"/>
        </w:rPr>
      </w:pPr>
      <w:r>
        <w:rPr>
          <w:sz w:val="20"/>
          <w:szCs w:val="20"/>
        </w:rPr>
      </w:r>
    </w:p>
    <w:p>
      <w:pPr>
        <w:pStyle w:val="Normal"/>
        <w:rPr>
          <w:b/>
          <w:bCs/>
          <w:sz w:val="20"/>
          <w:szCs w:val="20"/>
        </w:rPr>
      </w:pPr>
      <w:r>
        <w:rPr>
          <w:b/>
          <w:bCs/>
          <w:sz w:val="20"/>
          <w:szCs w:val="20"/>
        </w:rPr>
        <w:t>Southern Natural Gas Company</w:t>
      </w:r>
    </w:p>
    <w:p>
      <w:pPr>
        <w:pStyle w:val="NormalIndent"/>
        <w:rPr>
          <w:sz w:val="20"/>
          <w:szCs w:val="20"/>
        </w:rPr>
      </w:pPr>
      <w:r>
        <w:rPr>
          <w:sz w:val="20"/>
          <w:szCs w:val="20"/>
        </w:rPr>
        <w:t>11/30/00 - Southern filed to increase its Storage Cost Reconciliation Deferred Account surcharge  by $.008 due to losses from sale of storage gas inventory for cash-out and system management.</w:t>
      </w:r>
    </w:p>
    <w:p>
      <w:pPr>
        <w:pStyle w:val="Normal"/>
        <w:rPr>
          <w:b/>
          <w:bCs/>
          <w:sz w:val="20"/>
          <w:szCs w:val="20"/>
        </w:rPr>
      </w:pPr>
      <w:r>
        <w:rPr>
          <w:b/>
          <w:bCs/>
          <w:sz w:val="20"/>
          <w:szCs w:val="20"/>
        </w:rPr>
      </w:r>
    </w:p>
    <w:p>
      <w:pPr>
        <w:pStyle w:val="Normal"/>
        <w:rPr>
          <w:sz w:val="20"/>
          <w:szCs w:val="20"/>
        </w:rPr>
      </w:pPr>
      <w:r>
        <w:rPr>
          <w:b/>
          <w:bCs/>
          <w:sz w:val="20"/>
          <w:szCs w:val="20"/>
        </w:rPr>
        <w:t>Texas Eastern Transmission Corporation</w:t>
      </w:r>
    </w:p>
    <w:p>
      <w:pPr>
        <w:pStyle w:val="NormalIndent"/>
        <w:rPr>
          <w:sz w:val="20"/>
          <w:szCs w:val="20"/>
        </w:rPr>
      </w:pPr>
      <w:r>
        <w:rPr>
          <w:sz w:val="20"/>
          <w:szCs w:val="20"/>
        </w:rPr>
        <w:t>12/19/00 - TETCO withdrew its motion to place hourly flexibility into effect 12/1/00.  Since it has not been approved in time for the entire winter and there is still much customer opposition, TETCO has decided to postpone the proposal until at least 4/1/01, and work on it further.</w:t>
      </w:r>
    </w:p>
    <w:p>
      <w:pPr>
        <w:pStyle w:val="NormalIndent"/>
        <w:rPr>
          <w:sz w:val="20"/>
          <w:szCs w:val="20"/>
        </w:rPr>
      </w:pPr>
      <w:r>
        <w:rPr>
          <w:sz w:val="20"/>
          <w:szCs w:val="20"/>
        </w:rPr>
      </w:r>
    </w:p>
    <w:p>
      <w:pPr>
        <w:pStyle w:val="NormalIndent"/>
        <w:rPr>
          <w:sz w:val="20"/>
          <w:szCs w:val="20"/>
        </w:rPr>
      </w:pPr>
      <w:r>
        <w:rPr>
          <w:sz w:val="20"/>
          <w:szCs w:val="20"/>
        </w:rPr>
        <w:t>12/29/00 - TETCO filed for a small increase in its EPC (Electric Power Cost) Adjustment effective 2/1/01.</w:t>
      </w:r>
      <w:r>
        <w:br w:type="page"/>
      </w:r>
    </w:p>
    <w:p>
      <w:pPr>
        <w:pStyle w:val="NormalIndent"/>
        <w:rPr>
          <w:sz w:val="20"/>
          <w:szCs w:val="20"/>
        </w:rPr>
      </w:pPr>
      <w:r>
        <w:rPr>
          <w:sz w:val="20"/>
          <w:szCs w:val="20"/>
        </w:rPr>
      </w:r>
    </w:p>
    <w:p>
      <w:pPr>
        <w:pStyle w:val="Normal"/>
        <w:rPr>
          <w:b/>
          <w:bCs/>
          <w:sz w:val="20"/>
          <w:szCs w:val="20"/>
        </w:rPr>
      </w:pPr>
      <w:r>
        <w:rPr>
          <w:b/>
          <w:bCs/>
          <w:sz w:val="20"/>
          <w:szCs w:val="20"/>
        </w:rPr>
        <w:t>Transwestern Pipeline Company</w:t>
      </w:r>
    </w:p>
    <w:p>
      <w:pPr>
        <w:pStyle w:val="NormalIndent"/>
        <w:rPr>
          <w:sz w:val="20"/>
          <w:szCs w:val="20"/>
        </w:rPr>
      </w:pPr>
      <w:r>
        <w:rPr>
          <w:sz w:val="20"/>
          <w:szCs w:val="20"/>
        </w:rPr>
        <w:t>12/20/00 - TW filed notice of a negotiated rate agreement for Park n Ride service with Pub Svc Co of New Mexico for 20,000/d from PNR Rio Puerco to PNM Rio Puerco at a total rate of $.45 on December 19, 2000.</w:t>
      </w:r>
    </w:p>
    <w:p>
      <w:pPr>
        <w:pStyle w:val="NormalIndent"/>
        <w:rPr>
          <w:sz w:val="20"/>
          <w:szCs w:val="20"/>
        </w:rPr>
      </w:pPr>
      <w:r>
        <w:rPr>
          <w:sz w:val="20"/>
          <w:szCs w:val="20"/>
        </w:rPr>
      </w:r>
    </w:p>
    <w:p>
      <w:pPr>
        <w:pStyle w:val="Normal"/>
        <w:rPr>
          <w:b/>
          <w:bCs/>
          <w:sz w:val="20"/>
          <w:szCs w:val="20"/>
        </w:rPr>
      </w:pPr>
      <w:r>
        <w:rPr>
          <w:b/>
          <w:bCs/>
          <w:sz w:val="20"/>
          <w:szCs w:val="20"/>
        </w:rPr>
        <w:t>Williams Gas Pipelines Central, Inc.</w:t>
      </w:r>
    </w:p>
    <w:p>
      <w:pPr>
        <w:pStyle w:val="NormalIndent"/>
        <w:rPr>
          <w:sz w:val="20"/>
          <w:szCs w:val="20"/>
        </w:rPr>
      </w:pPr>
      <w:r>
        <w:rPr>
          <w:sz w:val="20"/>
          <w:szCs w:val="20"/>
        </w:rPr>
        <w:t>12/1/00 - Williams filed its fuel percentage changes effective 1/1/01.  The net increase in the production area is .64%; the net increase in the market area is .14%.  The storage percentage reflects a net decrease of 2.63% due to a decrease in storage field losses.</w:t>
      </w:r>
    </w:p>
    <w:p>
      <w:pPr>
        <w:pStyle w:val="NormalIndent"/>
        <w:rPr>
          <w:sz w:val="20"/>
          <w:szCs w:val="20"/>
        </w:rPr>
      </w:pPr>
      <w:r>
        <w:rPr>
          <w:sz w:val="20"/>
          <w:szCs w:val="20"/>
        </w:rPr>
      </w:r>
    </w:p>
    <w:p>
      <w:pPr>
        <w:pStyle w:val="NormalIndent"/>
        <w:rPr>
          <w:sz w:val="20"/>
          <w:szCs w:val="20"/>
        </w:rPr>
      </w:pPr>
      <w:r>
        <w:rPr>
          <w:sz w:val="20"/>
          <w:szCs w:val="20"/>
        </w:rPr>
      </w:r>
    </w:p>
    <w:p>
      <w:pPr>
        <w:pStyle w:val="Normal"/>
        <w:rPr>
          <w:b/>
          <w:bCs/>
          <w:sz w:val="20"/>
          <w:szCs w:val="20"/>
        </w:rPr>
      </w:pPr>
      <w:r>
        <w:rPr>
          <w:b/>
          <w:bCs/>
          <w:i/>
          <w:iCs/>
          <w:sz w:val="20"/>
          <w:szCs w:val="20"/>
        </w:rPr>
        <w:t>Distribution:</w:t>
      </w:r>
    </w:p>
    <w:p>
      <w:pPr>
        <w:pStyle w:val="NormalIndent"/>
        <w:rPr>
          <w:sz w:val="20"/>
          <w:szCs w:val="20"/>
        </w:rPr>
      </w:pPr>
      <w:r>
        <w:rPr>
          <w:sz w:val="20"/>
          <w:szCs w:val="20"/>
        </w:rPr>
        <w:t>Phillip Allen</w:t>
        <w:tab/>
        <w:tab/>
        <w:tab/>
        <w:t>Tom Martin</w:t>
      </w:r>
    </w:p>
    <w:p>
      <w:pPr>
        <w:pStyle w:val="NormalIndent"/>
        <w:rPr>
          <w:sz w:val="20"/>
          <w:szCs w:val="20"/>
        </w:rPr>
      </w:pPr>
      <w:r>
        <w:rPr>
          <w:sz w:val="20"/>
          <w:szCs w:val="20"/>
        </w:rPr>
        <w:t xml:space="preserve">Sandra Brawner </w:t>
        <w:tab/>
        <w:tab/>
        <w:t>Deirdre McCaffrey</w:t>
      </w:r>
    </w:p>
    <w:p>
      <w:pPr>
        <w:pStyle w:val="NormalIndent"/>
        <w:rPr>
          <w:sz w:val="20"/>
          <w:szCs w:val="20"/>
        </w:rPr>
      </w:pPr>
      <w:r>
        <w:rPr>
          <w:sz w:val="20"/>
          <w:szCs w:val="20"/>
        </w:rPr>
        <w:t>Martin Cuilla</w:t>
        <w:tab/>
        <w:tab/>
        <w:tab/>
        <w:t>Greg McClendon</w:t>
      </w:r>
    </w:p>
    <w:p>
      <w:pPr>
        <w:pStyle w:val="NormalIndent"/>
        <w:rPr>
          <w:sz w:val="20"/>
          <w:szCs w:val="20"/>
        </w:rPr>
      </w:pPr>
      <w:r>
        <w:rPr>
          <w:sz w:val="20"/>
          <w:szCs w:val="20"/>
        </w:rPr>
        <w:t>Kate Fraser</w:t>
        <w:tab/>
        <w:tab/>
        <w:tab/>
        <w:t>Brad McKay</w:t>
      </w:r>
    </w:p>
    <w:p>
      <w:pPr>
        <w:pStyle w:val="NormalIndent"/>
        <w:rPr>
          <w:sz w:val="20"/>
          <w:szCs w:val="20"/>
        </w:rPr>
      </w:pPr>
      <w:r>
        <w:rPr>
          <w:sz w:val="20"/>
          <w:szCs w:val="20"/>
        </w:rPr>
        <w:t xml:space="preserve">Chris Germany </w:t>
        <w:tab/>
        <w:tab/>
        <w:tab/>
        <w:t>Scott Neal</w:t>
      </w:r>
    </w:p>
    <w:p>
      <w:pPr>
        <w:pStyle w:val="NormalIndent"/>
        <w:rPr>
          <w:sz w:val="20"/>
          <w:szCs w:val="20"/>
        </w:rPr>
      </w:pPr>
      <w:r>
        <w:rPr>
          <w:sz w:val="20"/>
          <w:szCs w:val="20"/>
        </w:rPr>
        <w:t>Scott Goodell</w:t>
        <w:tab/>
        <w:tab/>
        <w:tab/>
        <w:t>Kim Olinger</w:t>
      </w:r>
    </w:p>
    <w:p>
      <w:pPr>
        <w:pStyle w:val="NormalIndent"/>
        <w:rPr>
          <w:sz w:val="20"/>
          <w:szCs w:val="20"/>
        </w:rPr>
      </w:pPr>
      <w:r>
        <w:rPr>
          <w:sz w:val="20"/>
          <w:szCs w:val="20"/>
        </w:rPr>
        <w:t>Mike Grigsby</w:t>
        <w:tab/>
        <w:tab/>
        <w:tab/>
        <w:t>Sylvia Pollan</w:t>
      </w:r>
    </w:p>
    <w:p>
      <w:pPr>
        <w:pStyle w:val="NormalIndent"/>
        <w:rPr>
          <w:sz w:val="20"/>
          <w:szCs w:val="20"/>
        </w:rPr>
      </w:pPr>
      <w:r>
        <w:rPr>
          <w:sz w:val="20"/>
          <w:szCs w:val="20"/>
        </w:rPr>
        <w:t>Keith Holst</w:t>
        <w:tab/>
        <w:tab/>
        <w:tab/>
        <w:t>Hunter Shively</w:t>
      </w:r>
    </w:p>
    <w:p>
      <w:pPr>
        <w:pStyle w:val="NormalIndent"/>
        <w:rPr>
          <w:sz w:val="20"/>
          <w:szCs w:val="20"/>
        </w:rPr>
      </w:pPr>
      <w:r>
        <w:rPr>
          <w:sz w:val="20"/>
          <w:szCs w:val="20"/>
        </w:rPr>
        <w:t>Dick Jenkins</w:t>
        <w:tab/>
        <w:tab/>
        <w:tab/>
        <w:t>Geoff Storey</w:t>
      </w:r>
    </w:p>
    <w:p>
      <w:pPr>
        <w:pStyle w:val="NormalIndent"/>
        <w:rPr>
          <w:sz w:val="20"/>
          <w:szCs w:val="20"/>
        </w:rPr>
      </w:pPr>
      <w:r>
        <w:rPr>
          <w:sz w:val="20"/>
          <w:szCs w:val="20"/>
        </w:rPr>
        <w:t xml:space="preserve">Dan Junek </w:t>
        <w:tab/>
        <w:tab/>
        <w:tab/>
        <w:t>Judy Townsend</w:t>
      </w:r>
    </w:p>
    <w:p>
      <w:pPr>
        <w:pStyle w:val="NormalIndent"/>
        <w:rPr>
          <w:sz w:val="20"/>
          <w:szCs w:val="20"/>
        </w:rPr>
      </w:pPr>
      <w:r>
        <w:rPr>
          <w:sz w:val="20"/>
          <w:szCs w:val="20"/>
        </w:rPr>
        <w:t>Pete Keavey</w:t>
        <w:tab/>
        <w:tab/>
        <w:tab/>
        <w:t>Elsa Villareal</w:t>
      </w:r>
    </w:p>
    <w:p>
      <w:pPr>
        <w:pStyle w:val="NormalIndent"/>
        <w:rPr>
          <w:sz w:val="20"/>
          <w:szCs w:val="20"/>
        </w:rPr>
      </w:pPr>
      <w:r>
        <w:rPr>
          <w:sz w:val="20"/>
          <w:szCs w:val="20"/>
        </w:rPr>
        <w:t>Andy Lewis</w:t>
        <w:tab/>
        <w:tab/>
        <w:tab/>
      </w:r>
    </w:p>
    <w:p>
      <w:pPr>
        <w:pStyle w:val="NormalIndent"/>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-358775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25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paragraph" w:styleId="Heading7">
    <w:name w:val="heading 7"/>
    <w:basedOn w:val="Normal"/>
    <w:next w:val="Normal"/>
    <w:qFormat/>
    <w:pPr>
      <w:keepNext w:val="true"/>
      <w:numPr>
        <w:ilvl w:val="6"/>
        <w:numId w:val="1"/>
      </w:numPr>
      <w:spacing w:lineRule="atLeast" w:line="240"/>
      <w:outlineLvl w:val="6"/>
    </w:pPr>
    <w:rPr>
      <w:b/>
      <w:bCs/>
      <w:color w:val="000000"/>
      <w:sz w:val="20"/>
      <w:szCs w:val="20"/>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2001-01-04T13:12:00Z</dcterms:created>
  <dc:creator>ECT</dc:creator>
  <dc:description/>
  <dc:language>en-CA</dc:language>
  <cp:lastModifiedBy>ECT</cp:lastModifiedBy>
  <cp:lastPrinted>2000-12-05T10:32:00Z</cp:lastPrinted>
  <dcterms:modified xsi:type="dcterms:W3CDTF">2001-01-19T12:06:00Z</dcterms:modified>
  <cp:revision>10</cp:revision>
  <dc:subject>Regulatory Filing Summary</dc:subject>
  <dc:title>Eron Capital &amp; Trade Resources Memo</dc:title>
</cp:coreProperties>
</file>