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Distribution</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ENA</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December 5,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Indent"/>
        <w:rPr>
          <w:sz w:val="20"/>
          <w:szCs w:val="20"/>
        </w:rPr>
      </w:pPr>
      <w:r>
        <w:rPr/>
        <w:t xml:space="preserve"> </w:t>
      </w:r>
    </w:p>
    <w:p>
      <w:pPr>
        <w:pStyle w:val="Normal"/>
        <w:rPr>
          <w:b/>
          <w:bCs/>
          <w:sz w:val="20"/>
          <w:szCs w:val="20"/>
        </w:rPr>
      </w:pPr>
      <w:r>
        <w:rPr>
          <w:b/>
          <w:bCs/>
          <w:sz w:val="20"/>
          <w:szCs w:val="20"/>
        </w:rPr>
        <w:t>ANR Pipeline Company</w:t>
      </w:r>
    </w:p>
    <w:p>
      <w:pPr>
        <w:pStyle w:val="NormalIndent"/>
        <w:rPr/>
      </w:pPr>
      <w:r>
        <w:rPr>
          <w:sz w:val="20"/>
          <w:szCs w:val="20"/>
        </w:rPr>
        <w:t xml:space="preserve">Summary of technical conference on Order 637 compliance:  </w:t>
      </w:r>
      <w:r>
        <w:rPr>
          <w:sz w:val="20"/>
          <w:szCs w:val="20"/>
          <w:u w:val="single"/>
        </w:rPr>
        <w:t>Segmentation</w:t>
      </w:r>
      <w:r>
        <w:rPr>
          <w:sz w:val="20"/>
          <w:szCs w:val="20"/>
        </w:rPr>
        <w:t xml:space="preserve">:  Certain intervenors proposed that secondary points within the path be given a higher priority than points outside the path, but ANR did not budge on this.  ANR did concede that releasing shippers could retain their discounts if a replacement shipper moves to a secondary point, and that shippers could change their primary point subject to availability and a “revenue test”—replacement shippers could also change points in cases of permanent releases.  </w:t>
      </w:r>
      <w:r>
        <w:rPr>
          <w:sz w:val="20"/>
          <w:szCs w:val="20"/>
          <w:u w:val="single"/>
        </w:rPr>
        <w:t>Imbalance Mgmt</w:t>
      </w:r>
      <w:r>
        <w:rPr>
          <w:sz w:val="20"/>
          <w:szCs w:val="20"/>
        </w:rPr>
        <w:t xml:space="preserve">:  ANR will not offer no notice third party storage.  </w:t>
      </w:r>
      <w:r>
        <w:rPr>
          <w:sz w:val="20"/>
          <w:szCs w:val="20"/>
          <w:u w:val="single"/>
        </w:rPr>
        <w:t>OFO</w:t>
      </w:r>
      <w:r>
        <w:rPr>
          <w:sz w:val="20"/>
          <w:szCs w:val="20"/>
        </w:rPr>
        <w:t xml:space="preserve">s:  Still disagreement on this—some say IT and secondary customers should be curtailed prior to issuing an OFO; others say the first step should be to target offenders.  </w:t>
      </w:r>
      <w:r>
        <w:rPr>
          <w:sz w:val="20"/>
          <w:szCs w:val="20"/>
          <w:u w:val="single"/>
        </w:rPr>
        <w:t>Scheduling</w:t>
      </w:r>
      <w:r>
        <w:rPr>
          <w:sz w:val="20"/>
          <w:szCs w:val="20"/>
        </w:rPr>
        <w:t>:  Capacity allocation for secondary points is based on price of replacement shipper’s capacity, not the original shipper’s price.  ENA has argued that it should be based on original shipper’s price since this is the amount ANR is receiving.</w:t>
      </w:r>
    </w:p>
    <w:p>
      <w:pPr>
        <w:pStyle w:val="NormalIndent"/>
        <w:rPr>
          <w:sz w:val="20"/>
          <w:szCs w:val="20"/>
        </w:rPr>
      </w:pPr>
      <w:r>
        <w:rPr>
          <w:sz w:val="20"/>
          <w:szCs w:val="20"/>
        </w:rPr>
      </w:r>
    </w:p>
    <w:p>
      <w:pPr>
        <w:pStyle w:val="NormalIndent"/>
        <w:rPr>
          <w:sz w:val="20"/>
          <w:szCs w:val="20"/>
        </w:rPr>
      </w:pPr>
      <w:r>
        <w:rPr>
          <w:sz w:val="20"/>
          <w:szCs w:val="20"/>
        </w:rPr>
        <w:t>10/25/00 - FERC approved ANR’s GSR surcharge with a one year recovery, resulting in a reservation charge of $.018/Dth effective 10/1/00.</w:t>
      </w:r>
    </w:p>
    <w:p>
      <w:pPr>
        <w:pStyle w:val="NormalIndent"/>
        <w:rPr>
          <w:b/>
          <w:bCs/>
          <w:sz w:val="20"/>
          <w:szCs w:val="20"/>
        </w:rPr>
      </w:pPr>
      <w:r>
        <w:rPr>
          <w:b/>
          <w:bCs/>
          <w:sz w:val="20"/>
          <w:szCs w:val="20"/>
        </w:rPr>
      </w:r>
    </w:p>
    <w:p>
      <w:pPr>
        <w:pStyle w:val="NormalIndent"/>
        <w:rPr>
          <w:sz w:val="20"/>
          <w:szCs w:val="20"/>
        </w:rPr>
      </w:pPr>
      <w:r>
        <w:rPr>
          <w:sz w:val="20"/>
          <w:szCs w:val="20"/>
        </w:rPr>
        <w:t>10/31/00 - FERC accepted the settlement proposal to handle shortfalls in Viking volumes that would adversely affect deliveries in Wisconsin this winter.  The proposal states that if ANR has flowing volumes at Marshfield of less than 200,000/d and in its judgment that may threaten the operational integrity of its system in western Wisconsin, then the following will occur.  First, ANR must maximize volumes at Janesville (86,000) and Crystal Falls (735,000); then, ANR will issue an OFO requiring all shippers with primary delivery of Marshfield to schedule at Marshfield; Viking will require its corresponding shippers to deliver at Marshfield.  If they do not comply, ANR has the right to step in as agent and make it happen.  This is an interim solution to the contractual issue between them.</w:t>
      </w:r>
    </w:p>
    <w:p>
      <w:pPr>
        <w:pStyle w:val="NormalIndent"/>
        <w:rPr>
          <w:b/>
          <w:bCs/>
          <w:sz w:val="20"/>
          <w:szCs w:val="20"/>
        </w:rPr>
      </w:pPr>
      <w:r>
        <w:rPr>
          <w:b/>
          <w:bCs/>
          <w:sz w:val="20"/>
          <w:szCs w:val="20"/>
        </w:rPr>
      </w:r>
    </w:p>
    <w:p>
      <w:pPr>
        <w:pStyle w:val="Normal"/>
        <w:rPr>
          <w:b/>
          <w:bCs/>
          <w:sz w:val="20"/>
          <w:szCs w:val="20"/>
        </w:rPr>
      </w:pPr>
      <w:r>
        <w:rPr>
          <w:b/>
          <w:bCs/>
          <w:sz w:val="20"/>
          <w:szCs w:val="20"/>
        </w:rPr>
        <w:t>Columbia Gas Transmission</w:t>
      </w:r>
    </w:p>
    <w:p>
      <w:pPr>
        <w:pStyle w:val="NormalIndent"/>
        <w:rPr>
          <w:sz w:val="20"/>
          <w:szCs w:val="20"/>
        </w:rPr>
      </w:pPr>
      <w:r>
        <w:rPr>
          <w:sz w:val="20"/>
          <w:szCs w:val="20"/>
        </w:rPr>
        <w:t>11/14/00 - Settlement conference regarding 637:  Segmentation is the big issue—customers believe CGT’s “virtual” segmentation proposal is simply a thinly disguised pooling proposal.  Alternative proposals were submitted by Dynegy and UGI; however, customers still could not agree on the most reasonable proposal.  Further meetings were scheduled.</w:t>
      </w:r>
    </w:p>
    <w:p>
      <w:pPr>
        <w:pStyle w:val="NormalIndent"/>
        <w:rPr>
          <w:sz w:val="20"/>
          <w:szCs w:val="20"/>
        </w:rPr>
      </w:pPr>
      <w:r>
        <w:rPr>
          <w:sz w:val="20"/>
          <w:szCs w:val="20"/>
        </w:rPr>
      </w:r>
    </w:p>
    <w:p>
      <w:pPr>
        <w:pStyle w:val="NormalIndent"/>
        <w:rPr>
          <w:sz w:val="20"/>
          <w:szCs w:val="20"/>
        </w:rPr>
      </w:pPr>
      <w:r>
        <w:rPr>
          <w:sz w:val="20"/>
          <w:szCs w:val="20"/>
        </w:rPr>
        <w:t>11/16/00 - UGI submitted its proposal for settlement of the segmentation and secondary delivery point issues.  Basically, they are most interested in secondary delivery point rights and propose that in an insufficient capacity situation, deliveries should be allocated first based on PV of the contract; second, on the basis of “geographic priority” among equal PV contracts; and third, pro rata among contracts with equal PV and geographic priority.  It would be based on delivery point only, with no consideration for receipt point locations.</w:t>
      </w:r>
      <w:r>
        <w:br w:type="page"/>
      </w:r>
    </w:p>
    <w:p>
      <w:pPr>
        <w:pStyle w:val="NormalIndent"/>
        <w:rPr>
          <w:sz w:val="20"/>
          <w:szCs w:val="20"/>
        </w:rPr>
      </w:pPr>
      <w:r>
        <w:rPr>
          <w:sz w:val="20"/>
          <w:szCs w:val="20"/>
        </w:rPr>
      </w:r>
    </w:p>
    <w:p>
      <w:pPr>
        <w:pStyle w:val="NormalIndent"/>
        <w:rPr>
          <w:sz w:val="20"/>
          <w:szCs w:val="20"/>
        </w:rPr>
      </w:pPr>
      <w:r>
        <w:rPr>
          <w:sz w:val="20"/>
          <w:szCs w:val="20"/>
        </w:rPr>
        <w:t>11/21/00 - FERC approved CGT’s elimination of the Article X Surcharge (related to Gas Supply Realignment costs) of $.01 for ITS effective 11/1/00.</w:t>
      </w:r>
    </w:p>
    <w:p>
      <w:pPr>
        <w:pStyle w:val="NormalIndent"/>
        <w:rPr>
          <w:sz w:val="20"/>
          <w:szCs w:val="20"/>
        </w:rPr>
      </w:pPr>
      <w:r>
        <w:rPr>
          <w:sz w:val="20"/>
          <w:szCs w:val="20"/>
        </w:rPr>
      </w:r>
    </w:p>
    <w:p>
      <w:pPr>
        <w:pStyle w:val="NormalIndent"/>
        <w:rPr>
          <w:sz w:val="20"/>
          <w:szCs w:val="20"/>
        </w:rPr>
      </w:pPr>
      <w:r>
        <w:rPr>
          <w:sz w:val="20"/>
          <w:szCs w:val="20"/>
        </w:rPr>
        <w:t>11/22/00 - CGT’s capacity auction proposal was accepted by FERC effective 5/1/01, subject to refund and a technical conference.  The effective date may be changed as a result of the technical conference.</w:t>
      </w:r>
    </w:p>
    <w:p>
      <w:pPr>
        <w:pStyle w:val="NormalIndent"/>
        <w:rPr>
          <w:sz w:val="20"/>
          <w:szCs w:val="20"/>
        </w:rPr>
      </w:pPr>
      <w:r>
        <w:rPr>
          <w:sz w:val="20"/>
          <w:szCs w:val="20"/>
        </w:rPr>
      </w:r>
    </w:p>
    <w:p>
      <w:pPr>
        <w:pStyle w:val="Normal"/>
        <w:rPr>
          <w:b/>
          <w:bCs/>
          <w:sz w:val="20"/>
          <w:szCs w:val="20"/>
        </w:rPr>
      </w:pPr>
      <w:r>
        <w:rPr>
          <w:b/>
          <w:bCs/>
          <w:sz w:val="20"/>
          <w:szCs w:val="20"/>
        </w:rPr>
        <w:t>Columbia Gulf Transmission Corporation</w:t>
      </w:r>
    </w:p>
    <w:p>
      <w:pPr>
        <w:pStyle w:val="NormalIndent"/>
        <w:rPr>
          <w:sz w:val="20"/>
          <w:szCs w:val="20"/>
        </w:rPr>
      </w:pPr>
      <w:r>
        <w:rPr>
          <w:sz w:val="20"/>
          <w:szCs w:val="20"/>
        </w:rPr>
        <w:t>11/8/00 - CGulf filed notice of a negotiated rate agreement with Linder Oil Company for IT service for five years (beginning with FERC approval).  Linder will dedicate all its production from the East Cameron area to CGulf for service from EC 23 to onshore or Zone 30 pool for the following rates:  the first 10,000/d—max rate; excess volumes shall be equal to the difference in IFERC indexes between CGulf and Tenn LA with a floor and cap of $.02 and $.06 respectively.</w:t>
      </w:r>
    </w:p>
    <w:p>
      <w:pPr>
        <w:pStyle w:val="NormalIndent"/>
        <w:rPr>
          <w:sz w:val="20"/>
          <w:szCs w:val="20"/>
        </w:rPr>
      </w:pPr>
      <w:r>
        <w:rPr>
          <w:sz w:val="20"/>
          <w:szCs w:val="20"/>
        </w:rPr>
      </w:r>
    </w:p>
    <w:p>
      <w:pPr>
        <w:pStyle w:val="Normal"/>
        <w:rPr>
          <w:b/>
          <w:bCs/>
          <w:sz w:val="20"/>
          <w:szCs w:val="20"/>
        </w:rPr>
      </w:pPr>
      <w:r>
        <w:rPr>
          <w:b/>
          <w:bCs/>
          <w:sz w:val="20"/>
          <w:szCs w:val="20"/>
        </w:rPr>
        <w:t>Dominion Transmission, Inc.</w:t>
      </w:r>
    </w:p>
    <w:p>
      <w:pPr>
        <w:pStyle w:val="NormalIndent"/>
        <w:rPr>
          <w:sz w:val="20"/>
          <w:szCs w:val="20"/>
        </w:rPr>
      </w:pPr>
      <w:r>
        <w:rPr>
          <w:sz w:val="20"/>
          <w:szCs w:val="20"/>
        </w:rPr>
        <w:t>10/4/00 - Dominion filed notice of an amended negotiated rate with PSEG Power NY.  The term on the below deal was extended for one month to 10/31/00.  The rate is $.10 if the total volume is at least 750,000 Dt, or $.12 for all volumes if below 750,000 Dt.  The service is for a MDTQ of 115,000/day (total max of 10,580,000 over the term) from Leidy to Niagara Mohawk East.</w:t>
      </w:r>
    </w:p>
    <w:p>
      <w:pPr>
        <w:pStyle w:val="NormalIndent"/>
        <w:rPr>
          <w:sz w:val="20"/>
          <w:szCs w:val="20"/>
        </w:rPr>
      </w:pPr>
      <w:r>
        <w:rPr>
          <w:sz w:val="20"/>
          <w:szCs w:val="20"/>
        </w:rPr>
      </w:r>
    </w:p>
    <w:p>
      <w:pPr>
        <w:pStyle w:val="NormalIndent"/>
        <w:rPr>
          <w:sz w:val="20"/>
          <w:szCs w:val="20"/>
        </w:rPr>
      </w:pPr>
      <w:r>
        <w:rPr>
          <w:sz w:val="20"/>
          <w:szCs w:val="20"/>
        </w:rPr>
        <w:t>10/27/00 - Dominion filed notice of a negotiated rate transaction with PSE&amp;G Power NY effective 11/1/00 through 3/31/01 for service from Leidy to Normanskill.  The MDQ depends on temperatures.  For temps greater than 45 degrees, the limit is 115,000/d; between 41 and 44 deg, 86,000/d; less than 40 deg, volumes are subject to operating conditions.  Max annual volume is 20,815,000 Dt.  The demand charge is $.30 for actual volumes transported, with a minimum winter period volume of 1,250,000 dt.</w:t>
      </w:r>
    </w:p>
    <w:p>
      <w:pPr>
        <w:pStyle w:val="NormalIndent"/>
        <w:rPr>
          <w:sz w:val="20"/>
          <w:szCs w:val="20"/>
        </w:rPr>
      </w:pPr>
      <w:r>
        <w:rPr>
          <w:sz w:val="20"/>
          <w:szCs w:val="20"/>
        </w:rPr>
      </w:r>
    </w:p>
    <w:p>
      <w:pPr>
        <w:pStyle w:val="NormalIndent"/>
        <w:rPr>
          <w:sz w:val="20"/>
          <w:szCs w:val="20"/>
        </w:rPr>
      </w:pPr>
      <w:r>
        <w:rPr>
          <w:sz w:val="20"/>
          <w:szCs w:val="20"/>
        </w:rPr>
        <w:t>11/14/00 - Technical Conference on Order 637 Proceeding:  The lack of segmentation continues to be the biggest issue.  Amerada Hess spoke up the most regarding segmentation and offered an alternate proposal that would allow shippers to double or triple its MDQ; however, many of the customers thought Hess’ proposal may be too aggressive.  Other issues like capacity release and scheduling posed no significant problems.  There were minor changes suggested for imbalance management, supplemental services like balancing, OFO’s and system information.</w:t>
      </w:r>
    </w:p>
    <w:p>
      <w:pPr>
        <w:pStyle w:val="NormalIndent"/>
        <w:rPr>
          <w:sz w:val="20"/>
          <w:szCs w:val="20"/>
        </w:rPr>
      </w:pPr>
      <w:r>
        <w:rPr>
          <w:sz w:val="20"/>
          <w:szCs w:val="20"/>
        </w:rPr>
      </w:r>
    </w:p>
    <w:p>
      <w:pPr>
        <w:pStyle w:val="Normal"/>
        <w:rPr>
          <w:b/>
          <w:bCs/>
          <w:sz w:val="20"/>
          <w:szCs w:val="20"/>
        </w:rPr>
      </w:pPr>
      <w:r>
        <w:rPr>
          <w:b/>
          <w:bCs/>
          <w:sz w:val="20"/>
          <w:szCs w:val="20"/>
        </w:rPr>
        <w:t>East Tennessee Natural Gas</w:t>
      </w:r>
    </w:p>
    <w:p>
      <w:pPr>
        <w:pStyle w:val="NormalIndent"/>
        <w:rPr>
          <w:sz w:val="20"/>
          <w:szCs w:val="20"/>
        </w:rPr>
      </w:pPr>
      <w:r>
        <w:rPr>
          <w:sz w:val="20"/>
          <w:szCs w:val="20"/>
        </w:rPr>
        <w:t>11/1/00 - ETenn filed to remove Order 636 transition cost surcharges from its rates effective 11/2/00.</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11/10/00 - EPNG filed notice of its customers’ elections of delivery point rights at Topock and the resulting allocation.  Not surprisingly, all shippers who could elected Socal, so they will all end up with about 37% of their election.  Next they will advise EPNG of their choice of delivery point(s) for the remaining 63%.</w:t>
      </w:r>
    </w:p>
    <w:p>
      <w:pPr>
        <w:pStyle w:val="NormalIndent"/>
        <w:rPr>
          <w:sz w:val="20"/>
          <w:szCs w:val="20"/>
        </w:rPr>
      </w:pPr>
      <w:r>
        <w:rPr>
          <w:sz w:val="20"/>
          <w:szCs w:val="20"/>
        </w:rPr>
      </w:r>
    </w:p>
    <w:p>
      <w:pPr>
        <w:pStyle w:val="Normal"/>
        <w:rPr>
          <w:b/>
          <w:bCs/>
          <w:sz w:val="20"/>
          <w:szCs w:val="20"/>
        </w:rPr>
      </w:pPr>
      <w:r>
        <w:rPr>
          <w:b/>
          <w:bCs/>
          <w:sz w:val="20"/>
          <w:szCs w:val="20"/>
        </w:rPr>
        <w:t>Great Lakes Gas Transmission Limited Partnership</w:t>
      </w:r>
    </w:p>
    <w:p>
      <w:pPr>
        <w:pStyle w:val="NormalIndent"/>
        <w:rPr>
          <w:sz w:val="20"/>
          <w:szCs w:val="20"/>
        </w:rPr>
      </w:pPr>
      <w:r>
        <w:rPr>
          <w:sz w:val="20"/>
          <w:szCs w:val="20"/>
        </w:rPr>
        <w:t>11/6/00 - GL filed notice of a negotiated rate agreement with CXY Energy Marketing effective November 2000 only.  It is for FT service for 50,000/d from Emerson to Chippewa, Belle River Mills and St. Clair.  The demand charge is $.07/MMBtu plus a sharing component equal to 50% of the Daily Value (spread less variable less $.07).</w:t>
      </w:r>
    </w:p>
    <w:p>
      <w:pPr>
        <w:pStyle w:val="NormalIndent"/>
        <w:rPr>
          <w:sz w:val="20"/>
          <w:szCs w:val="20"/>
        </w:rPr>
      </w:pPr>
      <w:r>
        <w:rPr>
          <w:sz w:val="20"/>
          <w:szCs w:val="20"/>
        </w:rPr>
      </w:r>
    </w:p>
    <w:p>
      <w:pPr>
        <w:pStyle w:val="Normal"/>
        <w:rPr>
          <w:b/>
          <w:bCs/>
          <w:sz w:val="20"/>
          <w:szCs w:val="20"/>
        </w:rPr>
      </w:pPr>
      <w:r>
        <w:rPr>
          <w:b/>
          <w:bCs/>
          <w:sz w:val="20"/>
          <w:szCs w:val="20"/>
        </w:rPr>
        <w:t>Kern River Gas Transmission</w:t>
      </w:r>
    </w:p>
    <w:p>
      <w:pPr>
        <w:pStyle w:val="NormalIndent"/>
        <w:rPr>
          <w:sz w:val="20"/>
          <w:szCs w:val="20"/>
        </w:rPr>
      </w:pPr>
      <w:r>
        <w:rPr>
          <w:sz w:val="20"/>
          <w:szCs w:val="20"/>
        </w:rPr>
        <w:t>11/24/00 - KERN filed for approval to expand capacity from Wyoming to California by 124,500 Mcf to serve new electric generation load, effective May 1, 2002.  They are asking for rolled-in rate treatment.</w:t>
      </w:r>
    </w:p>
    <w:p>
      <w:pPr>
        <w:pStyle w:val="NormalIndent"/>
        <w:rPr>
          <w:sz w:val="20"/>
          <w:szCs w:val="20"/>
        </w:rPr>
      </w:pPr>
      <w:r>
        <w:rPr>
          <w:sz w:val="20"/>
          <w:szCs w:val="20"/>
        </w:rPr>
      </w:r>
    </w:p>
    <w:p>
      <w:pPr>
        <w:pStyle w:val="Normal"/>
        <w:rPr>
          <w:b/>
          <w:bCs/>
          <w:sz w:val="20"/>
          <w:szCs w:val="20"/>
        </w:rPr>
      </w:pPr>
      <w:r>
        <w:rPr>
          <w:b/>
          <w:bCs/>
          <w:sz w:val="20"/>
          <w:szCs w:val="20"/>
        </w:rPr>
        <w:t>Midcoast Interstate Transmission, Inc., Mid Louisiana Gas Co., Kansas Pipeline Co.</w:t>
      </w:r>
    </w:p>
    <w:p>
      <w:pPr>
        <w:pStyle w:val="NormalIndent"/>
        <w:rPr>
          <w:sz w:val="20"/>
          <w:szCs w:val="20"/>
        </w:rPr>
      </w:pPr>
      <w:r>
        <w:rPr>
          <w:sz w:val="20"/>
          <w:szCs w:val="20"/>
        </w:rPr>
        <w:t>10/11/00 - FERC denied the Midcoast Companies’ request for further time to submit its compliance filing regarding imbalance trading and netting and required its submittal by 10/26/00.</w:t>
      </w:r>
      <w:r>
        <w:br w:type="page"/>
      </w:r>
    </w:p>
    <w:p>
      <w:pPr>
        <w:pStyle w:val="NormalIndent"/>
        <w:rPr>
          <w:sz w:val="20"/>
          <w:szCs w:val="20"/>
        </w:rPr>
      </w:pPr>
      <w:r>
        <w:rPr>
          <w:sz w:val="20"/>
          <w:szCs w:val="20"/>
        </w:rPr>
      </w:r>
    </w:p>
    <w:p>
      <w:pPr>
        <w:pStyle w:val="Normal"/>
        <w:rPr>
          <w:b/>
          <w:bCs/>
          <w:sz w:val="20"/>
          <w:szCs w:val="20"/>
        </w:rPr>
      </w:pPr>
      <w:r>
        <w:rPr>
          <w:b/>
          <w:bCs/>
          <w:sz w:val="20"/>
          <w:szCs w:val="20"/>
        </w:rPr>
        <w:t>Mississippi River Transmission Corporation</w:t>
      </w:r>
    </w:p>
    <w:p>
      <w:pPr>
        <w:pStyle w:val="NormalIndent"/>
        <w:rPr>
          <w:sz w:val="20"/>
          <w:szCs w:val="20"/>
        </w:rPr>
      </w:pPr>
      <w:r>
        <w:rPr>
          <w:sz w:val="20"/>
          <w:szCs w:val="20"/>
        </w:rPr>
        <w:t>10/30/00 - FERC approved MRT’s revised fuel rates effective 11/1/00:  2.3% between Field and Market Zones (was 2.37%) and 1.08% for Field Zone only (was 1.04%).</w:t>
      </w:r>
    </w:p>
    <w:p>
      <w:pPr>
        <w:pStyle w:val="NormalIndent"/>
        <w:rPr>
          <w:sz w:val="20"/>
          <w:szCs w:val="20"/>
        </w:rPr>
      </w:pPr>
      <w:r>
        <w:rPr>
          <w:sz w:val="20"/>
          <w:szCs w:val="20"/>
        </w:rPr>
      </w:r>
    </w:p>
    <w:p>
      <w:pPr>
        <w:pStyle w:val="NormalIndent"/>
        <w:rPr>
          <w:sz w:val="20"/>
          <w:szCs w:val="20"/>
        </w:rPr>
      </w:pPr>
      <w:r>
        <w:rPr>
          <w:sz w:val="20"/>
          <w:szCs w:val="20"/>
        </w:rPr>
        <w:t>11/24/00 - FERC reversed its previous decision regarding MRT’s inclusion of 1.333 Bcf of lost and unaccounted for gas related to the 7/96 through 7/98 period.  MRT will file revised tariff sheets to be effective 6/1/00 and will include the volumes in its fuel tracker.</w:t>
      </w:r>
    </w:p>
    <w:p>
      <w:pPr>
        <w:pStyle w:val="NormalIndent"/>
        <w:rPr>
          <w:sz w:val="20"/>
          <w:szCs w:val="20"/>
        </w:rPr>
      </w:pPr>
      <w:r>
        <w:rPr>
          <w:sz w:val="20"/>
          <w:szCs w:val="20"/>
        </w:rPr>
      </w:r>
    </w:p>
    <w:p>
      <w:pPr>
        <w:pStyle w:val="Normal"/>
        <w:rPr>
          <w:b/>
          <w:bCs/>
          <w:sz w:val="20"/>
          <w:szCs w:val="20"/>
        </w:rPr>
      </w:pPr>
      <w:r>
        <w:rPr>
          <w:b/>
          <w:bCs/>
          <w:sz w:val="20"/>
          <w:szCs w:val="20"/>
        </w:rPr>
        <w:t>Natural Gas Pipeline Company</w:t>
      </w:r>
    </w:p>
    <w:p>
      <w:pPr>
        <w:pStyle w:val="NormalIndent"/>
        <w:rPr>
          <w:sz w:val="20"/>
          <w:szCs w:val="20"/>
        </w:rPr>
      </w:pPr>
      <w:r>
        <w:rPr>
          <w:sz w:val="20"/>
          <w:szCs w:val="20"/>
        </w:rPr>
        <w:t xml:space="preserve">11/27/00 - FERC approved the revision of Account 858 surcharges applicable to FTS, DSS, FFTS and FTS-G effective 12/1/00.  </w:t>
      </w:r>
    </w:p>
    <w:p>
      <w:pPr>
        <w:pStyle w:val="NormalIndent"/>
        <w:rPr>
          <w:sz w:val="20"/>
          <w:szCs w:val="20"/>
        </w:rPr>
      </w:pPr>
      <w:r>
        <w:rPr>
          <w:sz w:val="20"/>
          <w:szCs w:val="20"/>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10/30/00 - NNG filed notice of a negotiated rate with Utilicorp effective October 31, 2000.  The rate is $.18 combined demand and commodity with an MDQ of 7000/d for winter and 3500/d for summer.  In winter the primary receipt point is Carlton; in summer it is Demarcation.  The delivery point is Zone E-F / Utilicorp.</w:t>
      </w:r>
    </w:p>
    <w:p>
      <w:pPr>
        <w:pStyle w:val="NormalIndent"/>
        <w:rPr>
          <w:sz w:val="20"/>
          <w:szCs w:val="20"/>
        </w:rPr>
      </w:pPr>
      <w:r>
        <w:rPr>
          <w:sz w:val="20"/>
          <w:szCs w:val="20"/>
        </w:rPr>
      </w:r>
    </w:p>
    <w:p>
      <w:pPr>
        <w:pStyle w:val="NormalIndent"/>
        <w:rPr>
          <w:sz w:val="20"/>
          <w:szCs w:val="20"/>
        </w:rPr>
      </w:pPr>
      <w:r>
        <w:rPr>
          <w:sz w:val="20"/>
          <w:szCs w:val="20"/>
        </w:rPr>
        <w:t>11/1/00 - NNG filed to increase certain rates to reflect an adjustment in its SLA (System Levelized Account), which records the effects of cash-out on its system.  NNG has the right to change the rates if the impact on rates is greater than $.0001 for two consecutive filing periods.  This has occurred due to higher has prices.  In fact, the SLA adjustments result in as much as $.04 increase on certain services.</w:t>
      </w:r>
    </w:p>
    <w:p>
      <w:pPr>
        <w:pStyle w:val="NormalIndent"/>
        <w:rPr>
          <w:sz w:val="20"/>
          <w:szCs w:val="20"/>
        </w:rPr>
      </w:pPr>
      <w:r>
        <w:rPr>
          <w:sz w:val="20"/>
          <w:szCs w:val="20"/>
        </w:rPr>
      </w:r>
    </w:p>
    <w:p>
      <w:pPr>
        <w:pStyle w:val="NormalIndent"/>
        <w:rPr>
          <w:sz w:val="20"/>
          <w:szCs w:val="20"/>
        </w:rPr>
      </w:pPr>
      <w:r>
        <w:rPr>
          <w:sz w:val="20"/>
          <w:szCs w:val="20"/>
        </w:rPr>
        <w:t xml:space="preserve">11/22/00 - FERC accepted NNG’s filing to reflect the balance in its cash out System Levelized Account effective 12/1/00, subject to refund.  Parties will have three weeks to file comments.  </w:t>
      </w:r>
    </w:p>
    <w:p>
      <w:pPr>
        <w:pStyle w:val="NormalIndent"/>
        <w:rPr>
          <w:sz w:val="20"/>
          <w:szCs w:val="20"/>
        </w:rPr>
      </w:pPr>
      <w:r>
        <w:rPr>
          <w:sz w:val="20"/>
          <w:szCs w:val="20"/>
        </w:rPr>
      </w:r>
    </w:p>
    <w:p>
      <w:pPr>
        <w:pStyle w:val="Normal"/>
        <w:rPr>
          <w:b/>
          <w:bCs/>
          <w:sz w:val="20"/>
          <w:szCs w:val="20"/>
        </w:rPr>
      </w:pPr>
      <w:r>
        <w:rPr>
          <w:b/>
          <w:bCs/>
          <w:sz w:val="20"/>
          <w:szCs w:val="20"/>
        </w:rPr>
        <w:t>Panhandle Eastern Pipe Line</w:t>
      </w:r>
    </w:p>
    <w:p>
      <w:pPr>
        <w:pStyle w:val="NormalIndent"/>
        <w:rPr>
          <w:sz w:val="20"/>
          <w:szCs w:val="20"/>
        </w:rPr>
      </w:pPr>
      <w:r>
        <w:rPr>
          <w:sz w:val="20"/>
          <w:szCs w:val="20"/>
        </w:rPr>
        <w:t>10/30/00 - FERC approved new fuel rates effective 11/1/00.</w:t>
      </w:r>
    </w:p>
    <w:p>
      <w:pPr>
        <w:pStyle w:val="NormalIndent"/>
        <w:rPr>
          <w:sz w:val="20"/>
          <w:szCs w:val="20"/>
        </w:rPr>
      </w:pPr>
      <w:r>
        <w:rPr>
          <w:sz w:val="20"/>
          <w:szCs w:val="20"/>
        </w:rPr>
      </w:r>
    </w:p>
    <w:p>
      <w:pPr>
        <w:pStyle w:val="NormalIndent"/>
        <w:rPr>
          <w:sz w:val="20"/>
          <w:szCs w:val="20"/>
        </w:rPr>
      </w:pPr>
      <w:r>
        <w:rPr>
          <w:sz w:val="20"/>
          <w:szCs w:val="20"/>
        </w:rPr>
        <w:t>11/24/00 - FERC accepted PEPL’s compliance filing subject to the outcome of its Order 637 proceeding on penalties; however, it required PEPL to change its unauthorized hourly overrun penalty to $10/dth rather than using the North ECAR-based pricing mechanism it proposed until it can be addressed in rehearing.</w:t>
      </w:r>
    </w:p>
    <w:p>
      <w:pPr>
        <w:pStyle w:val="NormalIndent"/>
        <w:rPr>
          <w:sz w:val="20"/>
          <w:szCs w:val="20"/>
        </w:rPr>
      </w:pPr>
      <w:r>
        <w:rPr>
          <w:sz w:val="20"/>
          <w:szCs w:val="20"/>
        </w:rPr>
      </w:r>
    </w:p>
    <w:p>
      <w:pPr>
        <w:pStyle w:val="Normal"/>
        <w:rPr>
          <w:b/>
          <w:bCs/>
          <w:sz w:val="20"/>
          <w:szCs w:val="20"/>
        </w:rPr>
      </w:pPr>
      <w:r>
        <w:rPr>
          <w:b/>
          <w:bCs/>
          <w:sz w:val="20"/>
          <w:szCs w:val="20"/>
        </w:rPr>
        <w:t>Peoples Gas Light &amp; Coke</w:t>
      </w:r>
    </w:p>
    <w:p>
      <w:pPr>
        <w:pStyle w:val="NormalIndent"/>
        <w:rPr>
          <w:sz w:val="20"/>
          <w:szCs w:val="20"/>
        </w:rPr>
      </w:pPr>
      <w:r>
        <w:rPr>
          <w:sz w:val="20"/>
          <w:szCs w:val="20"/>
        </w:rPr>
        <w:t>11/24/00 - Peoples filed for rate approval for transportation, storage, and Park and loan services as follows:  FT:  max reservation of $1.9275/MMBtu;  IT:  max rate of $.0634, firm storage:  max monthly reservation of $1.4861/MMBtu plus a max monthly capacity charge of $.0594/MMBtu and a $.055 commodity charge per MMBtu of gas injected on any day.  For interruptible storage, $.0511/MMBtu of inventory on any day.  For park and loan, max rate $.1144/MMBtu of inventory on any day.  The minimum rate for transportation services is $0.00; for storage and park and loan services the minimum  is $.0002/MMBtu.</w:t>
      </w:r>
    </w:p>
    <w:p>
      <w:pPr>
        <w:pStyle w:val="NormalIndent"/>
        <w:rPr>
          <w:sz w:val="20"/>
          <w:szCs w:val="20"/>
        </w:rPr>
      </w:pPr>
      <w:r>
        <w:rPr>
          <w:sz w:val="20"/>
          <w:szCs w:val="20"/>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11/1/00 - PG&amp;E filed notice of a negotiated rate agreement with Reliant Energy Svcs Canada for 10,000/d of winter only FTS-1 capacity from Stanfield to Malin and one year capacity beginning 11/1/00 for 10,000/d.</w:t>
      </w:r>
    </w:p>
    <w:p>
      <w:pPr>
        <w:pStyle w:val="NormalIndent"/>
        <w:rPr>
          <w:sz w:val="20"/>
          <w:szCs w:val="20"/>
        </w:rPr>
      </w:pPr>
      <w:r>
        <w:rPr>
          <w:sz w:val="20"/>
          <w:szCs w:val="20"/>
        </w:rPr>
      </w:r>
    </w:p>
    <w:p>
      <w:pPr>
        <w:pStyle w:val="Normal"/>
        <w:rPr>
          <w:b/>
          <w:bCs/>
          <w:sz w:val="20"/>
          <w:szCs w:val="20"/>
        </w:rPr>
      </w:pPr>
      <w:r>
        <w:rPr>
          <w:b/>
          <w:bCs/>
          <w:sz w:val="20"/>
          <w:szCs w:val="20"/>
        </w:rPr>
        <w:t>Reliant Energy Gas Transmission Company</w:t>
      </w:r>
    </w:p>
    <w:p>
      <w:pPr>
        <w:pStyle w:val="NormalIndent"/>
        <w:rPr>
          <w:sz w:val="20"/>
          <w:szCs w:val="20"/>
        </w:rPr>
      </w:pPr>
      <w:r>
        <w:rPr>
          <w:sz w:val="20"/>
          <w:szCs w:val="20"/>
        </w:rPr>
        <w:t>11/14/00 - Reliant filed notice of new negotiated rate arrangements involving three existing contracts (FT, NNTS, and FSS) with Reliant Energy Arkla.  The agreements were restructured in exchange for R E Arkla extending the primary terms of each agreement and increasing the volume.  R E Arkla is also sharing costs to install facilities to enhance reliability at one of the citygates.  This is effective 12/1/00.</w:t>
      </w:r>
    </w:p>
    <w:p>
      <w:pPr>
        <w:pStyle w:val="NormalIndent"/>
        <w:rPr>
          <w:sz w:val="20"/>
          <w:szCs w:val="20"/>
        </w:rPr>
      </w:pPr>
      <w:r>
        <w:rPr>
          <w:sz w:val="20"/>
          <w:szCs w:val="20"/>
        </w:rPr>
      </w:r>
    </w:p>
    <w:p>
      <w:pPr>
        <w:pStyle w:val="Normal"/>
        <w:rPr>
          <w:b/>
          <w:bCs/>
          <w:sz w:val="20"/>
          <w:szCs w:val="20"/>
        </w:rPr>
      </w:pPr>
      <w:r>
        <w:rPr>
          <w:b/>
          <w:bCs/>
          <w:sz w:val="20"/>
          <w:szCs w:val="20"/>
        </w:rPr>
        <w:t>Tennessee Gas Pipeline Company</w:t>
      </w:r>
    </w:p>
    <w:p>
      <w:pPr>
        <w:pStyle w:val="NormalIndent"/>
        <w:rPr>
          <w:sz w:val="20"/>
          <w:szCs w:val="20"/>
        </w:rPr>
      </w:pPr>
      <w:r>
        <w:rPr>
          <w:sz w:val="20"/>
          <w:szCs w:val="20"/>
        </w:rPr>
        <w:t>11/17/00 - Tenn filed notice of a negotiated rate agreement with Eastman Chemical.  It was simply a restructuring of a term agreement in place since 1993 for deliveries of up to 11,677/d from seven different receipt points to East Tennessee.  It will be in effect through 2005.</w:t>
      </w:r>
      <w:r>
        <w:br w:type="page"/>
      </w:r>
    </w:p>
    <w:p>
      <w:pPr>
        <w:pStyle w:val="NormalIndent"/>
        <w:rPr>
          <w:sz w:val="20"/>
          <w:szCs w:val="20"/>
        </w:rPr>
      </w:pPr>
      <w:r>
        <w:rPr>
          <w:sz w:val="20"/>
          <w:szCs w:val="20"/>
        </w:rPr>
      </w:r>
    </w:p>
    <w:p>
      <w:pPr>
        <w:pStyle w:val="NormalIndent"/>
        <w:rPr>
          <w:sz w:val="20"/>
          <w:szCs w:val="20"/>
        </w:rPr>
      </w:pPr>
      <w:r>
        <w:rPr>
          <w:sz w:val="20"/>
          <w:szCs w:val="20"/>
        </w:rPr>
        <w:t>11/15/00 - Tenn filed notice of negotiated rates with its Eastern Express Project 2000 shippers.  They all have a $3.22 monthly reservation charge and a $.0643 commodity for the first five years, $.0543 the next five years, then max rate.  All contracts are for 10 years.  The shippers are :  American National Power (2 contracts totaling 50,000/d), El Paso Gas Services (3 contracts totaling 105,000/d) and Milford Power Company (18,000/d).</w:t>
      </w:r>
    </w:p>
    <w:p>
      <w:pPr>
        <w:pStyle w:val="Normal"/>
        <w:rPr>
          <w:b/>
          <w:bCs/>
          <w:sz w:val="20"/>
          <w:szCs w:val="20"/>
        </w:rPr>
      </w:pPr>
      <w:r>
        <w:rPr>
          <w:b/>
          <w:bCs/>
          <w:sz w:val="20"/>
          <w:szCs w:val="20"/>
        </w:rPr>
      </w:r>
    </w:p>
    <w:p>
      <w:pPr>
        <w:pStyle w:val="Normal"/>
        <w:rPr>
          <w:b/>
          <w:bCs/>
          <w:sz w:val="20"/>
          <w:szCs w:val="20"/>
        </w:rPr>
      </w:pPr>
      <w:r>
        <w:rPr>
          <w:b/>
          <w:bCs/>
          <w:sz w:val="20"/>
          <w:szCs w:val="20"/>
        </w:rPr>
        <w:t>Texas Eastern Transmission</w:t>
      </w:r>
    </w:p>
    <w:p>
      <w:pPr>
        <w:pStyle w:val="NormalIndent"/>
        <w:rPr>
          <w:sz w:val="20"/>
          <w:szCs w:val="20"/>
        </w:rPr>
      </w:pPr>
      <w:r>
        <w:rPr>
          <w:sz w:val="20"/>
          <w:szCs w:val="20"/>
        </w:rPr>
        <w:t>11/22/00 - TETCO’s rate reduction of $.0832 for long haul service was approved by FERC effective 12/1/00.  This is made up of an increase in fuel retention and a decrease in various rate components.</w:t>
      </w:r>
    </w:p>
    <w:p>
      <w:pPr>
        <w:pStyle w:val="NormalIndent"/>
        <w:rPr>
          <w:sz w:val="20"/>
          <w:szCs w:val="20"/>
        </w:rPr>
      </w:pPr>
      <w:r>
        <w:rPr>
          <w:sz w:val="20"/>
          <w:szCs w:val="20"/>
        </w:rPr>
      </w:r>
    </w:p>
    <w:p>
      <w:pPr>
        <w:pStyle w:val="NormalIndent"/>
        <w:rPr>
          <w:sz w:val="20"/>
          <w:szCs w:val="20"/>
        </w:rPr>
      </w:pPr>
      <w:r>
        <w:rPr>
          <w:sz w:val="20"/>
          <w:szCs w:val="20"/>
        </w:rPr>
        <w:t>10/31/00 - TETCO filed rate adjustments for its PCB Related Cost Component, as required pursuant to a 1991 Settlement.  The rates go into effect 12/1/00.</w:t>
      </w:r>
    </w:p>
    <w:p>
      <w:pPr>
        <w:pStyle w:val="NormalIndent"/>
        <w:rPr>
          <w:sz w:val="20"/>
          <w:szCs w:val="20"/>
        </w:rPr>
      </w:pPr>
      <w:r>
        <w:rPr>
          <w:sz w:val="20"/>
          <w:szCs w:val="20"/>
        </w:rPr>
      </w:r>
    </w:p>
    <w:p>
      <w:pPr>
        <w:pStyle w:val="Normal"/>
        <w:rPr>
          <w:b/>
          <w:bCs/>
          <w:sz w:val="20"/>
          <w:szCs w:val="20"/>
        </w:rPr>
      </w:pPr>
      <w:r>
        <w:rPr>
          <w:b/>
          <w:bCs/>
          <w:sz w:val="20"/>
          <w:szCs w:val="20"/>
        </w:rPr>
        <w:t>Texas Gas Transmission</w:t>
      </w:r>
    </w:p>
    <w:p>
      <w:pPr>
        <w:pStyle w:val="NormalIndent"/>
        <w:rPr>
          <w:sz w:val="20"/>
          <w:szCs w:val="20"/>
        </w:rPr>
      </w:pPr>
      <w:r>
        <w:rPr>
          <w:sz w:val="20"/>
          <w:szCs w:val="20"/>
        </w:rPr>
        <w:t>10/31/00 - TGT’s compliance filing revising its STF and IT rates to reflect distance sensitive rates is put into place effective 11/1/00, subject to refund.</w:t>
      </w:r>
    </w:p>
    <w:p>
      <w:pPr>
        <w:pStyle w:val="NormalIndent"/>
        <w:rPr>
          <w:sz w:val="20"/>
          <w:szCs w:val="20"/>
        </w:rPr>
      </w:pPr>
      <w:r>
        <w:rPr>
          <w:sz w:val="20"/>
          <w:szCs w:val="20"/>
        </w:rPr>
      </w:r>
    </w:p>
    <w:p>
      <w:pPr>
        <w:pStyle w:val="NormalIndent"/>
        <w:rPr/>
      </w:pPr>
      <w:r>
        <w:rPr>
          <w:sz w:val="20"/>
          <w:szCs w:val="20"/>
        </w:rPr>
        <w:t>11/24/00 - TGT’s new rate</w:t>
      </w:r>
      <w:r>
        <w:rPr/>
        <w:t xml:space="preserve"> </w:t>
      </w:r>
      <w:r>
        <w:rPr>
          <w:sz w:val="20"/>
          <w:szCs w:val="20"/>
        </w:rPr>
        <w:t>case rates were approved effective 11/1/00 subject to refund after hearing or settlement.</w:t>
      </w:r>
    </w:p>
    <w:p>
      <w:pPr>
        <w:pStyle w:val="Normal"/>
        <w:rPr>
          <w:b/>
          <w:bCs/>
          <w:sz w:val="20"/>
          <w:szCs w:val="20"/>
        </w:rPr>
      </w:pPr>
      <w:r>
        <w:rPr>
          <w:b/>
          <w:bCs/>
          <w:sz w:val="20"/>
          <w:szCs w:val="20"/>
        </w:rPr>
      </w:r>
    </w:p>
    <w:p>
      <w:pPr>
        <w:pStyle w:val="Normal"/>
        <w:rPr>
          <w:b/>
          <w:bCs/>
          <w:sz w:val="20"/>
          <w:szCs w:val="20"/>
        </w:rPr>
      </w:pPr>
      <w:r>
        <w:rPr>
          <w:b/>
          <w:bCs/>
          <w:sz w:val="20"/>
          <w:szCs w:val="20"/>
        </w:rPr>
        <w:t>Transcontinental Gas Pipe Line</w:t>
      </w:r>
    </w:p>
    <w:p>
      <w:pPr>
        <w:pStyle w:val="NormalIndent"/>
        <w:rPr>
          <w:sz w:val="20"/>
          <w:szCs w:val="20"/>
        </w:rPr>
      </w:pPr>
      <w:r>
        <w:rPr>
          <w:sz w:val="20"/>
          <w:szCs w:val="20"/>
        </w:rPr>
        <w:t>FERC reversed a previous decision and will allow Transco to adjust its fuel percentages to correct for accounting and metering problems estimated at 8 Bcf and worth over $13.7 million.  Transco will file new rates that will be effective 4/1/99, and will either bill or refund as required.</w:t>
      </w:r>
    </w:p>
    <w:p>
      <w:pPr>
        <w:pStyle w:val="NormalIndent"/>
        <w:rPr>
          <w:sz w:val="20"/>
          <w:szCs w:val="20"/>
        </w:rPr>
      </w:pPr>
      <w:r>
        <w:rPr>
          <w:sz w:val="20"/>
          <w:szCs w:val="20"/>
        </w:rPr>
      </w:r>
    </w:p>
    <w:p>
      <w:pPr>
        <w:pStyle w:val="Normal"/>
        <w:rPr>
          <w:b/>
          <w:bCs/>
          <w:sz w:val="20"/>
          <w:szCs w:val="20"/>
        </w:rPr>
      </w:pPr>
      <w:r>
        <w:rPr>
          <w:b/>
          <w:bCs/>
          <w:sz w:val="20"/>
          <w:szCs w:val="20"/>
        </w:rPr>
        <w:t>Transwestern Pipeline Company</w:t>
      </w:r>
    </w:p>
    <w:p>
      <w:pPr>
        <w:pStyle w:val="NormalIndent"/>
        <w:rPr/>
      </w:pPr>
      <w:r>
        <w:rPr>
          <w:sz w:val="20"/>
          <w:szCs w:val="20"/>
        </w:rPr>
        <w:t xml:space="preserve">11/22/00 - </w:t>
      </w:r>
      <w:r>
        <w:rPr>
          <w:color w:val="FF0000"/>
          <w:sz w:val="20"/>
          <w:szCs w:val="20"/>
        </w:rPr>
        <w:t>FERC accepted TW’s options based proposal effective 5/1/01</w:t>
      </w:r>
      <w:r>
        <w:rPr>
          <w:color w:val="FF0000"/>
          <w:sz w:val="20"/>
          <w:szCs w:val="20"/>
          <w:u w:val="single"/>
        </w:rPr>
        <w:t>, subject to refund and the outcome of a technical conference</w:t>
      </w:r>
      <w:r>
        <w:rPr>
          <w:sz w:val="20"/>
          <w:szCs w:val="20"/>
        </w:rPr>
        <w:t>.  The proposal allows four types of options:  1) a Shipper call, 2) a Transporter put, 3) a Shipper put, and 4) a Transporter Call, all allowing for calls or puts on capacity at a specified future date</w:t>
      </w:r>
    </w:p>
    <w:p>
      <w:pPr>
        <w:pStyle w:val="NormalIndent"/>
        <w:rPr>
          <w:sz w:val="20"/>
          <w:szCs w:val="20"/>
        </w:rPr>
      </w:pPr>
      <w:r>
        <w:rPr>
          <w:sz w:val="20"/>
          <w:szCs w:val="20"/>
        </w:rPr>
      </w:r>
    </w:p>
    <w:p>
      <w:pPr>
        <w:pStyle w:val="NormalIndent"/>
        <w:rPr>
          <w:sz w:val="20"/>
          <w:szCs w:val="20"/>
        </w:rPr>
      </w:pPr>
      <w:r>
        <w:rPr>
          <w:sz w:val="20"/>
          <w:szCs w:val="20"/>
        </w:rPr>
        <w:t>11/15/00 - TW filed notice of negotiated rates with USGT and PG&amp;E.  The deals are as follows:</w:t>
      </w:r>
    </w:p>
    <w:p>
      <w:pPr>
        <w:pStyle w:val="NormalIndent"/>
        <w:rPr/>
      </w:pPr>
      <w:r>
        <w:rPr>
          <w:sz w:val="20"/>
          <w:szCs w:val="20"/>
          <w:u w:val="single"/>
        </w:rPr>
        <w:t>U.S.G.T</w:t>
      </w:r>
      <w:r>
        <w:rPr>
          <w:sz w:val="20"/>
          <w:szCs w:val="20"/>
        </w:rPr>
        <w:t>.:  FTS-1 up to 400,000/d; rates:  For East to East, demand is $.0075/MMBtu/day and commodity is $.0093/MMBtu.  For East to West, the combined rate is $.04/MMBtu/day.  In addition, there is a 50/50 sharing mechanism where TW receives the first $2.5 million of margin, then it is split.</w:t>
      </w:r>
    </w:p>
    <w:p>
      <w:pPr>
        <w:pStyle w:val="NormalIndent"/>
        <w:rPr/>
      </w:pPr>
      <w:r>
        <w:rPr>
          <w:sz w:val="20"/>
          <w:szCs w:val="20"/>
          <w:u w:val="single"/>
        </w:rPr>
        <w:t>PG&amp;E</w:t>
      </w:r>
      <w:r>
        <w:rPr>
          <w:sz w:val="20"/>
          <w:szCs w:val="20"/>
        </w:rPr>
        <w:t xml:space="preserve"> - ITS for up to 30,000/d from NNG-Halley or W TX pool to Socal-Topock at a commodity rate of $.90/MMBtu.</w:t>
      </w:r>
    </w:p>
    <w:p>
      <w:pPr>
        <w:pStyle w:val="NormalIndent"/>
        <w:rPr>
          <w:sz w:val="20"/>
          <w:szCs w:val="20"/>
        </w:rPr>
      </w:pPr>
      <w:r>
        <w:rPr>
          <w:sz w:val="20"/>
          <w:szCs w:val="20"/>
        </w:rPr>
      </w:r>
    </w:p>
    <w:p>
      <w:pPr>
        <w:pStyle w:val="Normal"/>
        <w:rPr>
          <w:b/>
          <w:bCs/>
          <w:sz w:val="20"/>
          <w:szCs w:val="20"/>
        </w:rPr>
      </w:pPr>
      <w:r>
        <w:rPr>
          <w:b/>
          <w:bCs/>
          <w:sz w:val="20"/>
          <w:szCs w:val="20"/>
        </w:rPr>
        <w:t>Wyoming Interstate Company</w:t>
      </w:r>
    </w:p>
    <w:p>
      <w:pPr>
        <w:pStyle w:val="NormalIndent"/>
        <w:rPr>
          <w:sz w:val="20"/>
          <w:szCs w:val="20"/>
        </w:rPr>
      </w:pPr>
      <w:r>
        <w:rPr>
          <w:sz w:val="20"/>
          <w:szCs w:val="20"/>
        </w:rPr>
        <w:t>10/30/00 - WIC filed new fuel charges effective 12/1/00 increasing it from .45% to .63% for its existing system, from 1.72% to 1.92% for its Powder River Incremental transport, and from .48% to .68% for Medicine Bow Incremental transport.</w:t>
      </w:r>
    </w:p>
    <w:p>
      <w:pPr>
        <w:pStyle w:val="NormalIndent"/>
        <w:rPr>
          <w:sz w:val="20"/>
          <w:szCs w:val="20"/>
        </w:rPr>
      </w:pPr>
      <w:r>
        <w:rPr>
          <w:sz w:val="20"/>
          <w:szCs w:val="20"/>
        </w:rPr>
      </w:r>
    </w:p>
    <w:p>
      <w:pPr>
        <w:pStyle w:val="NormalIndent"/>
        <w:rPr/>
      </w:pPr>
      <w:r>
        <w:rPr/>
      </w:r>
    </w:p>
    <w:p>
      <w:pPr>
        <w:pStyle w:val="NormalIndent"/>
        <w:rPr/>
      </w:pPr>
      <w:r>
        <w:rPr/>
      </w:r>
    </w:p>
    <w:p>
      <w:pPr>
        <w:pStyle w:val="Normal"/>
        <w:rPr>
          <w:b/>
          <w:bCs/>
          <w:sz w:val="20"/>
          <w:szCs w:val="20"/>
        </w:rPr>
      </w:pPr>
      <w:r>
        <w:rPr>
          <w:b/>
          <w:bCs/>
          <w:sz w:val="20"/>
          <w:szCs w:val="20"/>
        </w:rPr>
        <w:t>Distribution:</w:t>
      </w:r>
    </w:p>
    <w:p>
      <w:pPr>
        <w:pStyle w:val="NormalIndent"/>
        <w:rPr>
          <w:sz w:val="20"/>
          <w:szCs w:val="20"/>
        </w:rPr>
      </w:pPr>
      <w:r>
        <w:rPr>
          <w:sz w:val="20"/>
          <w:szCs w:val="20"/>
        </w:rPr>
        <w:t>Phillip Allen</w:t>
        <w:tab/>
        <w:tab/>
        <w:tab/>
        <w:t>Tom Martin</w:t>
      </w:r>
    </w:p>
    <w:p>
      <w:pPr>
        <w:pStyle w:val="NormalIndent"/>
        <w:rPr>
          <w:sz w:val="20"/>
          <w:szCs w:val="20"/>
        </w:rPr>
      </w:pPr>
      <w:r>
        <w:rPr>
          <w:sz w:val="20"/>
          <w:szCs w:val="20"/>
        </w:rPr>
        <w:t xml:space="preserve">Sandra Brawner </w:t>
        <w:tab/>
        <w:tab/>
        <w:t>Deirdre McCaffrey</w:t>
      </w:r>
    </w:p>
    <w:p>
      <w:pPr>
        <w:pStyle w:val="NormalIndent"/>
        <w:rPr>
          <w:sz w:val="20"/>
          <w:szCs w:val="20"/>
        </w:rPr>
      </w:pPr>
      <w:r>
        <w:rPr>
          <w:sz w:val="20"/>
          <w:szCs w:val="20"/>
        </w:rPr>
        <w:t>Martin Cuilla</w:t>
        <w:tab/>
        <w:tab/>
        <w:tab/>
        <w:t>Greg McClendon</w:t>
      </w:r>
    </w:p>
    <w:p>
      <w:pPr>
        <w:pStyle w:val="NormalIndent"/>
        <w:rPr>
          <w:sz w:val="20"/>
          <w:szCs w:val="20"/>
        </w:rPr>
      </w:pPr>
      <w:r>
        <w:rPr>
          <w:sz w:val="20"/>
          <w:szCs w:val="20"/>
        </w:rPr>
        <w:t>Kate Fraser</w:t>
        <w:tab/>
        <w:tab/>
        <w:tab/>
        <w:t>Brad McKay</w:t>
      </w:r>
    </w:p>
    <w:p>
      <w:pPr>
        <w:pStyle w:val="NormalIndent"/>
        <w:rPr>
          <w:sz w:val="20"/>
          <w:szCs w:val="20"/>
        </w:rPr>
      </w:pPr>
      <w:r>
        <w:rPr>
          <w:sz w:val="20"/>
          <w:szCs w:val="20"/>
        </w:rPr>
        <w:t xml:space="preserve">Chris Germany </w:t>
        <w:tab/>
        <w:tab/>
        <w:tab/>
        <w:t>Scott Neal</w:t>
      </w:r>
    </w:p>
    <w:p>
      <w:pPr>
        <w:pStyle w:val="NormalIndent"/>
        <w:rPr>
          <w:sz w:val="20"/>
          <w:szCs w:val="20"/>
        </w:rPr>
      </w:pPr>
      <w:r>
        <w:rPr>
          <w:sz w:val="20"/>
          <w:szCs w:val="20"/>
        </w:rPr>
        <w:t>Scott Goodell</w:t>
        <w:tab/>
        <w:tab/>
        <w:tab/>
        <w:t>Kim Olinger</w:t>
      </w:r>
    </w:p>
    <w:p>
      <w:pPr>
        <w:pStyle w:val="NormalIndent"/>
        <w:rPr>
          <w:sz w:val="20"/>
          <w:szCs w:val="20"/>
        </w:rPr>
      </w:pPr>
      <w:r>
        <w:rPr>
          <w:sz w:val="20"/>
          <w:szCs w:val="20"/>
        </w:rPr>
        <w:t>Mike Grigsby</w:t>
        <w:tab/>
        <w:tab/>
        <w:tab/>
        <w:t>Sylvia Pollan</w:t>
      </w:r>
    </w:p>
    <w:p>
      <w:pPr>
        <w:pStyle w:val="NormalIndent"/>
        <w:rPr>
          <w:sz w:val="20"/>
          <w:szCs w:val="20"/>
        </w:rPr>
      </w:pPr>
      <w:r>
        <w:rPr>
          <w:sz w:val="20"/>
          <w:szCs w:val="20"/>
        </w:rPr>
        <w:t>Keith Holst</w:t>
        <w:tab/>
        <w:tab/>
        <w:tab/>
        <w:t>Hunter Shively</w:t>
      </w:r>
    </w:p>
    <w:p>
      <w:pPr>
        <w:pStyle w:val="NormalIndent"/>
        <w:rPr>
          <w:sz w:val="20"/>
          <w:szCs w:val="20"/>
        </w:rPr>
      </w:pPr>
      <w:r>
        <w:rPr>
          <w:sz w:val="20"/>
          <w:szCs w:val="20"/>
        </w:rPr>
        <w:t>Dick Jenkins</w:t>
        <w:tab/>
        <w:tab/>
        <w:tab/>
        <w:t>Geoff Storey</w:t>
      </w:r>
    </w:p>
    <w:p>
      <w:pPr>
        <w:pStyle w:val="NormalIndent"/>
        <w:rPr>
          <w:sz w:val="20"/>
          <w:szCs w:val="20"/>
        </w:rPr>
      </w:pPr>
      <w:r>
        <w:rPr>
          <w:sz w:val="20"/>
          <w:szCs w:val="20"/>
        </w:rPr>
        <w:t xml:space="preserve">Dan Junek </w:t>
        <w:tab/>
        <w:tab/>
        <w:tab/>
        <w:t>Judy Townsend</w:t>
      </w:r>
    </w:p>
    <w:p>
      <w:pPr>
        <w:pStyle w:val="NormalIndent"/>
        <w:rPr>
          <w:sz w:val="20"/>
          <w:szCs w:val="20"/>
        </w:rPr>
      </w:pPr>
      <w:r>
        <w:rPr>
          <w:sz w:val="20"/>
          <w:szCs w:val="20"/>
        </w:rPr>
        <w:t>Pete Keavey</w:t>
        <w:tab/>
        <w:tab/>
        <w:tab/>
        <w:t>Elsa Villareal</w:t>
      </w:r>
    </w:p>
    <w:p>
      <w:pPr>
        <w:pStyle w:val="NormalIndent"/>
        <w:rPr>
          <w:sz w:val="20"/>
          <w:szCs w:val="20"/>
        </w:rPr>
      </w:pPr>
      <w:r>
        <w:rPr>
          <w:sz w:val="20"/>
          <w:szCs w:val="20"/>
        </w:rPr>
        <w:t>Andy Lewis</w:t>
        <w:tab/>
        <w:tab/>
        <w:tab/>
      </w:r>
    </w:p>
    <w:p>
      <w:pPr>
        <w:pStyle w:val="NormalIndent"/>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-358775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25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paragraph" w:styleId="Heading7">
    <w:name w:val="heading 7"/>
    <w:basedOn w:val="Normal"/>
    <w:next w:val="Normal"/>
    <w:qFormat/>
    <w:pPr>
      <w:keepNext w:val="true"/>
      <w:numPr>
        <w:ilvl w:val="6"/>
        <w:numId w:val="1"/>
      </w:numPr>
      <w:spacing w:lineRule="atLeast" w:line="240"/>
      <w:outlineLvl w:val="6"/>
    </w:pPr>
    <w:rPr>
      <w:b/>
      <w:bCs/>
      <w:color w:val="000000"/>
      <w:sz w:val="20"/>
      <w:szCs w:val="20"/>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2000-11-27T14:06:00Z</dcterms:created>
  <dc:creator>ECT</dc:creator>
  <dc:description/>
  <dc:language>en-CA</dc:language>
  <cp:lastModifiedBy>ECT</cp:lastModifiedBy>
  <cp:lastPrinted>2000-12-05T10:32:00Z</cp:lastPrinted>
  <dcterms:modified xsi:type="dcterms:W3CDTF">2000-12-05T14:11:00Z</dcterms:modified>
  <cp:revision>24</cp:revision>
  <dc:subject>Regulatory Filing Summary</dc:subject>
  <dc:title>Eron Capital &amp; Trade Resources Memo</dc:title>
</cp:coreProperties>
</file>