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94410" cy="987425"/>
                    </a:xfrm>
                    <a:prstGeom prst="rect">
                      <a:avLst/>
                    </a:prstGeom>
                    <a:noFill/>
                  </pic:spPr>
                </pic:pic>
              </a:graphicData>
            </a:graphic>
          </wp:inline>
        </w:drawing>
      </w:r>
    </w:p>
    <w:p>
      <w:pPr>
        <w:pStyle w:val="Heading"/>
        <w:widowControl/>
        <w:rPr>
          <w:sz w:val="20"/>
        </w:rPr>
      </w:pPr>
      <w:r>
        <w:rPr>
          <w:sz w:val="20"/>
        </w:rPr>
      </w:r>
    </w:p>
    <w:tbl>
      <w:tblPr>
        <w:tblW w:w="11233" w:type="dxa"/>
        <w:jc w:val="start"/>
        <w:tblInd w:w="200" w:type="dxa"/>
        <w:tblLayout w:type="fixed"/>
        <w:tblCellMar>
          <w:top w:w="0" w:type="dxa"/>
          <w:start w:w="108" w:type="dxa"/>
          <w:bottom w:w="0" w:type="dxa"/>
          <w:end w:w="108" w:type="dxa"/>
        </w:tblCellMar>
      </w:tblPr>
      <w:tblGrid>
        <w:gridCol w:w="898"/>
        <w:gridCol w:w="6210"/>
        <w:gridCol w:w="1425"/>
        <w:gridCol w:w="2700"/>
      </w:tblGrid>
      <w:tr>
        <w:trPr>
          <w:trHeight w:val="1134" w:hRule="exact"/>
        </w:trPr>
        <w:tc>
          <w:tcPr>
            <w:tcW w:w="898" w:type="dxa"/>
            <w:tcBorders/>
          </w:tcPr>
          <w:p>
            <w:pPr>
              <w:pStyle w:val="Normal"/>
              <w:widowControl/>
              <w:ind w:start="-180" w:end="0"/>
              <w:jc w:val="end"/>
              <w:rPr>
                <w:sz w:val="20"/>
              </w:rPr>
            </w:pPr>
            <w:r>
              <w:rPr>
                <w:sz w:val="20"/>
              </w:rPr>
              <w:t>To:</w:t>
            </w:r>
          </w:p>
        </w:tc>
        <w:tc>
          <w:tcPr>
            <w:tcW w:w="6210" w:type="dxa"/>
            <w:tcBorders/>
          </w:tcPr>
          <w:p>
            <w:pPr>
              <w:pStyle w:val="To"/>
              <w:widowControl/>
              <w:ind w:end="-643"/>
              <w:rPr/>
            </w:pPr>
            <w:r>
              <w:rPr/>
              <w:t>Phillip Allen, Sandra Brawner, Chris Germany, Hunter Shively</w:t>
            </w:r>
          </w:p>
          <w:p>
            <w:pPr>
              <w:pStyle w:val="To"/>
              <w:widowControl/>
              <w:ind w:end="-643"/>
              <w:rPr/>
            </w:pPr>
            <w:r>
              <w:rPr/>
              <w:t>Dick Jenkins, Dan Junek, Tom Martin, Greg McClendon,</w:t>
            </w:r>
          </w:p>
          <w:p>
            <w:pPr>
              <w:pStyle w:val="To"/>
              <w:widowControl/>
              <w:ind w:end="-643"/>
              <w:rPr/>
            </w:pPr>
            <w:r>
              <w:rPr/>
              <w:t>Brad McKay, Scott Neal, Kim Olinger, Mike Grigsby,</w:t>
            </w:r>
          </w:p>
          <w:p>
            <w:pPr>
              <w:pStyle w:val="To"/>
              <w:widowControl/>
              <w:ind w:end="-643"/>
              <w:rPr/>
            </w:pPr>
            <w:r>
              <w:rPr/>
              <w:t>Judy Townsend, Elsa Villareal, Scott Goodell, Andy Lewis,</w:t>
            </w:r>
          </w:p>
          <w:p>
            <w:pPr>
              <w:pStyle w:val="To"/>
              <w:widowControl/>
              <w:ind w:end="-643"/>
              <w:rPr/>
            </w:pPr>
            <w:r>
              <w:rPr/>
              <w:t>Keith Holst, Martin Ciulla, Pete Keavey</w:t>
            </w:r>
          </w:p>
        </w:tc>
        <w:tc>
          <w:tcPr>
            <w:tcW w:w="1425" w:type="dxa"/>
            <w:tcBorders/>
          </w:tcPr>
          <w:p>
            <w:pPr>
              <w:pStyle w:val="Normal"/>
              <w:widowControl/>
              <w:snapToGrid w:val="false"/>
              <w:ind w:start="-180" w:end="0"/>
              <w:rPr>
                <w:sz w:val="20"/>
              </w:rPr>
            </w:pPr>
            <w:r>
              <w:rPr>
                <w:sz w:val="20"/>
              </w:rPr>
            </w:r>
          </w:p>
        </w:tc>
        <w:tc>
          <w:tcPr>
            <w:tcW w:w="2700" w:type="dxa"/>
            <w:tcBorders/>
          </w:tcPr>
          <w:p>
            <w:pPr>
              <w:pStyle w:val="Normal"/>
              <w:widowControl/>
              <w:snapToGrid w:val="false"/>
              <w:rPr>
                <w:sz w:val="20"/>
              </w:rPr>
            </w:pPr>
            <w:r>
              <w:rPr>
                <w:sz w:val="20"/>
              </w:rPr>
            </w:r>
          </w:p>
        </w:tc>
      </w:tr>
      <w:tr>
        <w:trPr>
          <w:trHeight w:val="216" w:hRule="exact"/>
        </w:trPr>
        <w:tc>
          <w:tcPr>
            <w:tcW w:w="898" w:type="dxa"/>
            <w:tcBorders/>
          </w:tcPr>
          <w:p>
            <w:pPr>
              <w:pStyle w:val="Normal"/>
              <w:widowControl/>
              <w:snapToGrid w:val="false"/>
              <w:ind w:start="-180" w:end="0"/>
              <w:jc w:val="end"/>
              <w:rPr>
                <w:sz w:val="20"/>
              </w:rPr>
            </w:pPr>
            <w:r>
              <w:rPr>
                <w:sz w:val="20"/>
              </w:rPr>
            </w:r>
          </w:p>
        </w:tc>
        <w:tc>
          <w:tcPr>
            <w:tcW w:w="6210" w:type="dxa"/>
            <w:tcBorders/>
          </w:tcPr>
          <w:p>
            <w:pPr>
              <w:pStyle w:val="Normal"/>
              <w:widowControl/>
              <w:snapToGrid w:val="false"/>
              <w:ind w:end="-643"/>
              <w:rPr>
                <w:sz w:val="20"/>
              </w:rPr>
            </w:pPr>
            <w:r>
              <w:rPr>
                <w:sz w:val="20"/>
              </w:rPr>
            </w:r>
          </w:p>
        </w:tc>
        <w:tc>
          <w:tcPr>
            <w:tcW w:w="1425" w:type="dxa"/>
            <w:tcBorders/>
          </w:tcPr>
          <w:p>
            <w:pPr>
              <w:pStyle w:val="Normal"/>
              <w:widowControl/>
              <w:snapToGrid w:val="false"/>
              <w:ind w:start="-180" w:end="0"/>
              <w:rPr>
                <w:sz w:val="20"/>
              </w:rPr>
            </w:pPr>
            <w:r>
              <w:rPr>
                <w:sz w:val="20"/>
              </w:rPr>
            </w:r>
          </w:p>
        </w:tc>
        <w:tc>
          <w:tcPr>
            <w:tcW w:w="2700" w:type="dxa"/>
            <w:tcBorders/>
          </w:tcPr>
          <w:p>
            <w:pPr>
              <w:pStyle w:val="Normal"/>
              <w:widowControl/>
              <w:snapToGrid w:val="false"/>
              <w:rPr>
                <w:sz w:val="20"/>
              </w:rPr>
            </w:pPr>
            <w:r>
              <w:rPr>
                <w:sz w:val="20"/>
              </w:rPr>
            </w:r>
          </w:p>
        </w:tc>
      </w:tr>
      <w:tr>
        <w:trPr>
          <w:trHeight w:val="300" w:hRule="exact"/>
        </w:trPr>
        <w:tc>
          <w:tcPr>
            <w:tcW w:w="898" w:type="dxa"/>
            <w:tcBorders/>
          </w:tcPr>
          <w:p>
            <w:pPr>
              <w:pStyle w:val="Normal"/>
              <w:widowControl/>
              <w:ind w:start="-180" w:end="0"/>
              <w:jc w:val="end"/>
              <w:rPr>
                <w:sz w:val="20"/>
              </w:rPr>
            </w:pPr>
            <w:r>
              <w:rPr>
                <w:sz w:val="20"/>
              </w:rPr>
              <w:t>From:</w:t>
            </w:r>
          </w:p>
        </w:tc>
        <w:tc>
          <w:tcPr>
            <w:tcW w:w="6210" w:type="dxa"/>
            <w:tcBorders/>
          </w:tcPr>
          <w:p>
            <w:pPr>
              <w:pStyle w:val="From"/>
              <w:widowControl/>
              <w:ind w:end="-643"/>
              <w:rPr/>
            </w:pPr>
            <w:r>
              <w:rPr/>
              <w:t>Colleen Sullivan</w:t>
            </w:r>
          </w:p>
        </w:tc>
        <w:tc>
          <w:tcPr>
            <w:tcW w:w="1425" w:type="dxa"/>
            <w:tcBorders/>
          </w:tcPr>
          <w:p>
            <w:pPr>
              <w:pStyle w:val="Normal"/>
              <w:widowControl/>
              <w:ind w:start="-180" w:end="0"/>
              <w:jc w:val="end"/>
              <w:rPr>
                <w:sz w:val="20"/>
              </w:rPr>
            </w:pPr>
            <w:r>
              <w:rPr>
                <w:sz w:val="20"/>
              </w:rPr>
              <w:t>Department:</w:t>
            </w:r>
          </w:p>
        </w:tc>
        <w:tc>
          <w:tcPr>
            <w:tcW w:w="2700" w:type="dxa"/>
            <w:tcBorders/>
          </w:tcPr>
          <w:p>
            <w:pPr>
              <w:pStyle w:val="Department"/>
              <w:widowControl/>
              <w:rPr/>
            </w:pPr>
            <w:bookmarkStart w:id="0" w:name="From"/>
            <w:bookmarkEnd w:id="0"/>
            <w:r>
              <w:rPr/>
              <w:t>ENA</w:t>
            </w:r>
          </w:p>
        </w:tc>
      </w:tr>
      <w:tr>
        <w:trPr>
          <w:trHeight w:val="216" w:hRule="exact"/>
        </w:trPr>
        <w:tc>
          <w:tcPr>
            <w:tcW w:w="898" w:type="dxa"/>
            <w:tcBorders/>
          </w:tcPr>
          <w:p>
            <w:pPr>
              <w:pStyle w:val="Normal"/>
              <w:widowControl/>
              <w:snapToGrid w:val="false"/>
              <w:ind w:start="-180" w:end="0"/>
              <w:jc w:val="end"/>
              <w:rPr>
                <w:sz w:val="20"/>
              </w:rPr>
            </w:pPr>
            <w:r>
              <w:rPr>
                <w:sz w:val="20"/>
              </w:rPr>
            </w:r>
          </w:p>
        </w:tc>
        <w:tc>
          <w:tcPr>
            <w:tcW w:w="6210" w:type="dxa"/>
            <w:tcBorders/>
          </w:tcPr>
          <w:p>
            <w:pPr>
              <w:pStyle w:val="Normal"/>
              <w:widowControl/>
              <w:snapToGrid w:val="false"/>
              <w:ind w:end="-643"/>
              <w:rPr>
                <w:sz w:val="20"/>
              </w:rPr>
            </w:pPr>
            <w:r>
              <w:rPr>
                <w:sz w:val="20"/>
              </w:rPr>
            </w:r>
          </w:p>
        </w:tc>
        <w:tc>
          <w:tcPr>
            <w:tcW w:w="1425" w:type="dxa"/>
            <w:tcBorders/>
          </w:tcPr>
          <w:p>
            <w:pPr>
              <w:pStyle w:val="Normal"/>
              <w:widowControl/>
              <w:snapToGrid w:val="false"/>
              <w:ind w:start="-180" w:end="0"/>
              <w:rPr>
                <w:sz w:val="20"/>
              </w:rPr>
            </w:pPr>
            <w:r>
              <w:rPr>
                <w:sz w:val="20"/>
              </w:rPr>
            </w:r>
          </w:p>
        </w:tc>
        <w:tc>
          <w:tcPr>
            <w:tcW w:w="2700" w:type="dxa"/>
            <w:tcBorders/>
          </w:tcPr>
          <w:p>
            <w:pPr>
              <w:pStyle w:val="Normal"/>
              <w:widowControl/>
              <w:snapToGrid w:val="false"/>
              <w:rPr>
                <w:sz w:val="20"/>
              </w:rPr>
            </w:pPr>
            <w:r>
              <w:rPr>
                <w:sz w:val="20"/>
              </w:rPr>
            </w:r>
          </w:p>
        </w:tc>
      </w:tr>
      <w:tr>
        <w:trPr>
          <w:trHeight w:val="495" w:hRule="exact"/>
        </w:trPr>
        <w:tc>
          <w:tcPr>
            <w:tcW w:w="898" w:type="dxa"/>
            <w:tcBorders>
              <w:bottom w:val="single" w:sz="12" w:space="0" w:color="000000"/>
            </w:tcBorders>
          </w:tcPr>
          <w:p>
            <w:pPr>
              <w:pStyle w:val="Normal"/>
              <w:widowControl/>
              <w:ind w:start="-180" w:end="0"/>
              <w:jc w:val="end"/>
              <w:rPr>
                <w:sz w:val="20"/>
              </w:rPr>
            </w:pPr>
            <w:r>
              <w:rPr>
                <w:sz w:val="20"/>
              </w:rPr>
              <w:t>Subject:</w:t>
            </w:r>
          </w:p>
        </w:tc>
        <w:tc>
          <w:tcPr>
            <w:tcW w:w="6210" w:type="dxa"/>
            <w:tcBorders>
              <w:bottom w:val="single" w:sz="12" w:space="0" w:color="000000"/>
            </w:tcBorders>
          </w:tcPr>
          <w:p>
            <w:pPr>
              <w:pStyle w:val="Subject"/>
              <w:widowControl/>
              <w:ind w:end="-643"/>
              <w:rPr/>
            </w:pPr>
            <w:r>
              <w:rPr/>
              <w:t>Regulatory Filing Summary</w:t>
            </w:r>
          </w:p>
        </w:tc>
        <w:tc>
          <w:tcPr>
            <w:tcW w:w="1425" w:type="dxa"/>
            <w:tcBorders>
              <w:bottom w:val="single" w:sz="12" w:space="0" w:color="000000"/>
            </w:tcBorders>
          </w:tcPr>
          <w:p>
            <w:pPr>
              <w:pStyle w:val="Normal"/>
              <w:widowControl/>
              <w:ind w:start="-180" w:end="0"/>
              <w:jc w:val="end"/>
              <w:rPr>
                <w:sz w:val="20"/>
              </w:rPr>
            </w:pPr>
            <w:r>
              <w:rPr>
                <w:sz w:val="20"/>
              </w:rPr>
              <w:t>Date:</w:t>
            </w:r>
          </w:p>
        </w:tc>
        <w:tc>
          <w:tcPr>
            <w:tcW w:w="2700" w:type="dxa"/>
            <w:tcBorders>
              <w:bottom w:val="single" w:sz="12" w:space="0" w:color="000000"/>
            </w:tcBorders>
          </w:tcPr>
          <w:p>
            <w:pPr>
              <w:pStyle w:val="Date"/>
              <w:widowControl/>
              <w:rPr/>
            </w:pPr>
            <w:r>
              <w:rPr/>
              <w:t>November 17, 2000</w:t>
            </w:r>
          </w:p>
        </w:tc>
      </w:tr>
    </w:tbl>
    <w:p>
      <w:pPr>
        <w:pStyle w:val="Body"/>
        <w:widowControl/>
        <w:rPr/>
      </w:pPr>
      <w:r>
        <w:rPr/>
      </w:r>
      <w:bookmarkStart w:id="1" w:name="StartOfMemo"/>
      <w:bookmarkStart w:id="2" w:name="StartOfMemo"/>
      <w:bookmarkEnd w:id="2"/>
    </w:p>
    <w:p>
      <w:pPr>
        <w:pStyle w:val="Normal"/>
        <w:rPr>
          <w:sz w:val="20"/>
        </w:rPr>
      </w:pPr>
      <w:r>
        <w:rPr>
          <w:sz w:val="20"/>
        </w:rPr>
        <w:t>Following is the regulatory update summary.   If you have any questions, please call me at x35514.</w:t>
      </w:r>
    </w:p>
    <w:p>
      <w:pPr>
        <w:pStyle w:val="NormalIndent"/>
        <w:rPr>
          <w:sz w:val="20"/>
        </w:rPr>
      </w:pPr>
      <w:r>
        <w:rPr>
          <w:rFonts w:eastAsia="Arial"/>
        </w:rPr>
        <w:t xml:space="preserve"> </w:t>
      </w:r>
    </w:p>
    <w:p>
      <w:pPr>
        <w:pStyle w:val="Normal"/>
        <w:rPr>
          <w:b/>
          <w:sz w:val="20"/>
        </w:rPr>
      </w:pPr>
      <w:r>
        <w:rPr>
          <w:b/>
          <w:sz w:val="20"/>
        </w:rPr>
        <w:t>ANR Pipeline Company</w:t>
      </w:r>
    </w:p>
    <w:p>
      <w:pPr>
        <w:pStyle w:val="NormalIndent"/>
        <w:rPr>
          <w:sz w:val="20"/>
        </w:rPr>
      </w:pPr>
      <w:r>
        <w:rPr>
          <w:sz w:val="20"/>
        </w:rPr>
        <w:t>10/31/00 - ANR filed notice of changes in negotiated rate contracts with Wisconsin Public Service effective 11/1/00.  There are several different agreements for various types of services—these are all existing deals with changes and all go through either March or October 2010. If you need specific information on these, let me know and I will provide the details.</w:t>
      </w:r>
    </w:p>
    <w:p>
      <w:pPr>
        <w:pStyle w:val="Normal"/>
        <w:spacing w:lineRule="atLeast" w:line="240"/>
        <w:rPr>
          <w:color w:val="000000"/>
          <w:sz w:val="20"/>
          <w:lang w:eastAsia="en-US"/>
        </w:rPr>
      </w:pPr>
      <w:r>
        <w:rPr>
          <w:color w:val="000000"/>
          <w:sz w:val="20"/>
          <w:lang w:eastAsia="en-US"/>
        </w:rPr>
      </w:r>
    </w:p>
    <w:p>
      <w:pPr>
        <w:pStyle w:val="Normal"/>
        <w:spacing w:lineRule="atLeast" w:line="240"/>
        <w:ind w:start="720" w:end="0"/>
        <w:rPr>
          <w:color w:val="000000"/>
          <w:sz w:val="20"/>
          <w:lang w:eastAsia="en-US"/>
        </w:rPr>
      </w:pPr>
      <w:r>
        <w:rPr>
          <w:color w:val="000000"/>
          <w:sz w:val="20"/>
          <w:lang w:eastAsia="en-US"/>
        </w:rPr>
        <w:t>11/2/00 – ANR filed a supplemental transportation agreement with Wisconsin Pub Svc, allowing it to redistribute the primary receipt point MDQ among seven contracts, subject to the MDQ in the previously executed agreement under ETS.</w:t>
      </w:r>
    </w:p>
    <w:p>
      <w:pPr>
        <w:pStyle w:val="Normal"/>
        <w:spacing w:lineRule="atLeast" w:line="240"/>
        <w:rPr>
          <w:color w:val="000000"/>
          <w:sz w:val="20"/>
          <w:lang w:eastAsia="en-US"/>
        </w:rPr>
      </w:pPr>
      <w:r>
        <w:rPr>
          <w:color w:val="000000"/>
          <w:sz w:val="20"/>
          <w:lang w:eastAsia="en-US"/>
        </w:rPr>
      </w:r>
    </w:p>
    <w:p>
      <w:pPr>
        <w:pStyle w:val="Normal"/>
        <w:spacing w:lineRule="atLeast" w:line="240"/>
        <w:ind w:start="720" w:end="0"/>
        <w:rPr/>
      </w:pPr>
      <w:r>
        <w:rPr>
          <w:color w:val="FF0000"/>
          <w:sz w:val="20"/>
          <w:lang w:eastAsia="en-US"/>
        </w:rPr>
        <w:t>10/13/00 – ANR/Viking—potential winter problem in that ANR tried to require some FT on Viking which certain sales customers on ANR turned back--ANR obtained assignments from the shippers, but Viking posted the capacity for bids and reassigned it to other shippers—now ANR indicates that it may experience operational problems on its Wisconsin system during the winter and may be unable to meet its delivery obligations in western Wisconsin</w:t>
      </w:r>
      <w:r>
        <w:rPr>
          <w:color w:val="000000"/>
          <w:sz w:val="20"/>
          <w:lang w:eastAsia="en-US"/>
        </w:rPr>
        <w:t>.</w:t>
      </w:r>
    </w:p>
    <w:p>
      <w:pPr>
        <w:pStyle w:val="Normal"/>
        <w:spacing w:lineRule="atLeast" w:line="240"/>
        <w:rPr>
          <w:color w:val="000000"/>
          <w:sz w:val="20"/>
          <w:lang w:eastAsia="en-US"/>
        </w:rPr>
      </w:pPr>
      <w:r>
        <w:rPr>
          <w:color w:val="000000"/>
          <w:sz w:val="20"/>
          <w:lang w:eastAsia="en-US"/>
        </w:rPr>
      </w:r>
    </w:p>
    <w:p>
      <w:pPr>
        <w:pStyle w:val="Normal"/>
        <w:spacing w:lineRule="atLeast" w:line="240"/>
        <w:ind w:start="720" w:end="0"/>
        <w:rPr>
          <w:color w:val="000000"/>
          <w:sz w:val="20"/>
          <w:lang w:eastAsia="en-US"/>
        </w:rPr>
      </w:pPr>
      <w:r>
        <w:rPr>
          <w:color w:val="000000"/>
          <w:sz w:val="20"/>
          <w:lang w:eastAsia="en-US"/>
        </w:rPr>
        <w:t>10/12/00 – ANR’s technical conference on Order 637 compliance filing: ANR proposed some changes to their original proposal, but that was not well received.  They will address the issues again on 11/8/00, with the possibility of another technical or settlement conference.</w:t>
      </w:r>
    </w:p>
    <w:p>
      <w:pPr>
        <w:pStyle w:val="Normal"/>
        <w:spacing w:lineRule="atLeast" w:line="240"/>
        <w:rPr>
          <w:color w:val="000000"/>
          <w:sz w:val="20"/>
          <w:lang w:eastAsia="en-US"/>
        </w:rPr>
      </w:pPr>
      <w:r>
        <w:rPr>
          <w:color w:val="000000"/>
          <w:sz w:val="20"/>
          <w:lang w:eastAsia="en-US"/>
        </w:rPr>
      </w:r>
    </w:p>
    <w:p>
      <w:pPr>
        <w:pStyle w:val="Normal"/>
        <w:spacing w:lineRule="atLeast" w:line="240"/>
        <w:ind w:start="720" w:end="0"/>
        <w:rPr>
          <w:sz w:val="20"/>
        </w:rPr>
      </w:pPr>
      <w:r>
        <w:rPr>
          <w:sz w:val="20"/>
          <w:lang w:eastAsia="en-US"/>
        </w:rPr>
        <w:t>10/10/00 – ANR filed notice of negotiated storage and related transportation agreements with Reliant Energy and with Dynegy.  Both deals allow for revenue sharing based on a set formula, with ANR</w:t>
      </w:r>
      <w:r>
        <w:rPr>
          <w:color w:val="000000"/>
          <w:sz w:val="20"/>
          <w:lang w:eastAsia="en-US"/>
        </w:rPr>
        <w:t xml:space="preserve"> </w:t>
      </w:r>
      <w:r>
        <w:rPr>
          <w:sz w:val="20"/>
          <w:lang w:eastAsia="en-US"/>
        </w:rPr>
        <w:t>receiving 80% up to a certain amount, then 50% thereafter.</w:t>
      </w:r>
    </w:p>
    <w:p>
      <w:pPr>
        <w:pStyle w:val="NormalIndent"/>
        <w:rPr>
          <w:sz w:val="20"/>
        </w:rPr>
      </w:pPr>
      <w:r>
        <w:rPr>
          <w:sz w:val="20"/>
        </w:rPr>
      </w:r>
    </w:p>
    <w:p>
      <w:pPr>
        <w:pStyle w:val="Normal"/>
        <w:rPr>
          <w:b/>
          <w:sz w:val="20"/>
        </w:rPr>
      </w:pPr>
      <w:r>
        <w:rPr>
          <w:b/>
          <w:sz w:val="20"/>
        </w:rPr>
        <w:t>Colorado Interstate Gas Company</w:t>
      </w:r>
    </w:p>
    <w:p>
      <w:pPr>
        <w:pStyle w:val="NormalIndent"/>
        <w:rPr>
          <w:sz w:val="20"/>
        </w:rPr>
      </w:pPr>
      <w:r>
        <w:rPr>
          <w:sz w:val="20"/>
        </w:rPr>
        <w:t>9/7/00 - CIG filed new fuel charges as follows:  Lost and Unaccounted for would go from .7% to .71%; fuel reimbursement for Transportation Fuel Gas would increase from 2.47% to 2.59%, and fuel reimbursement for Storage Fuel Gas would decrease from 1.32% to 1.31%, all effective 10/1/00.</w:t>
      </w:r>
    </w:p>
    <w:p>
      <w:pPr>
        <w:pStyle w:val="NormalIndent"/>
        <w:rPr>
          <w:sz w:val="20"/>
        </w:rPr>
      </w:pPr>
      <w:r>
        <w:rPr>
          <w:sz w:val="20"/>
        </w:rPr>
      </w:r>
    </w:p>
    <w:p>
      <w:pPr>
        <w:pStyle w:val="Normal"/>
        <w:rPr/>
      </w:pPr>
      <w:r>
        <w:rPr>
          <w:rFonts w:cs="Courier" w:ascii="Courier" w:hAnsi="Courier"/>
          <w:color w:val="000000"/>
          <w:lang w:eastAsia="en-US"/>
        </w:rPr>
        <w:tab/>
      </w:r>
      <w:r>
        <w:rPr>
          <w:color w:val="000000"/>
          <w:sz w:val="20"/>
          <w:lang w:eastAsia="en-US"/>
        </w:rPr>
        <w:tab/>
        <w:t>11/6/00 – CIG’s technical conference regarding Order 637 compliance</w:t>
      </w:r>
    </w:p>
    <w:p>
      <w:pPr>
        <w:pStyle w:val="Normal"/>
        <w:rPr>
          <w:color w:val="000000"/>
          <w:sz w:val="20"/>
          <w:lang w:eastAsia="en-US"/>
        </w:rPr>
      </w:pPr>
      <w:r>
        <w:rPr>
          <w:color w:val="000000"/>
          <w:sz w:val="20"/>
          <w:lang w:eastAsia="en-US"/>
        </w:rPr>
        <w:tab/>
        <w:tab/>
        <w:t>filing:</w:t>
      </w:r>
    </w:p>
    <w:p>
      <w:pPr>
        <w:pStyle w:val="NormalIndent"/>
        <w:rPr>
          <w:color w:val="000000"/>
          <w:sz w:val="20"/>
          <w:lang w:eastAsia="en-US"/>
        </w:rPr>
      </w:pPr>
      <w:r>
        <w:rPr>
          <w:color w:val="000000"/>
          <w:sz w:val="20"/>
          <w:lang w:eastAsia="en-US"/>
        </w:rPr>
      </w:r>
    </w:p>
    <w:p>
      <w:pPr>
        <w:pStyle w:val="Normal"/>
        <w:rPr>
          <w:b/>
          <w:sz w:val="20"/>
        </w:rPr>
      </w:pPr>
      <w:r>
        <w:rPr>
          <w:b/>
          <w:sz w:val="20"/>
        </w:rPr>
        <w:t>Columbia Gas Transmission</w:t>
      </w:r>
    </w:p>
    <w:p>
      <w:pPr>
        <w:pStyle w:val="NormalIndent"/>
        <w:rPr>
          <w:sz w:val="20"/>
        </w:rPr>
      </w:pPr>
      <w:r>
        <w:rPr>
          <w:sz w:val="20"/>
        </w:rPr>
        <w:t>10/27/00 - CGT submitted a draft letter to address issues raised regarding its proposed interactive capacity auction system.  There were three issues raised by customers  1) the drop down ability of CGT being limited to certain periods of each day, ) some level of capacity release transactions should be included in the new auction and 3) there should be a set time at which bidding for ROFR capacity is suspended and ROFR shippers are given an opportunity to retain the capacity.  CGT 1) agreed to extend the drop down period to the greater of 30 minutes or the top of the hour;  2) will not include capacity release postings; and 3) adopted this customer suggestion:  beginning 60 days prior to service, bidding on ROFR capacity stops for 10 days, during which the shipper can match a bid or take CGT’s posted minimum terms or negotiate acceptable terms.  After the ten day period, if no agreement is reached, the capacity goes back on the auction and ROFR rights have expired.</w:t>
      </w:r>
    </w:p>
    <w:p>
      <w:pPr>
        <w:pStyle w:val="NormalIndent"/>
        <w:rPr>
          <w:sz w:val="20"/>
        </w:rPr>
      </w:pPr>
      <w:r>
        <w:rPr>
          <w:sz w:val="20"/>
        </w:rPr>
      </w:r>
    </w:p>
    <w:p>
      <w:pPr>
        <w:pStyle w:val="Normal"/>
        <w:ind w:start="720" w:end="0"/>
        <w:rPr>
          <w:sz w:val="20"/>
        </w:rPr>
      </w:pPr>
      <w:r>
        <w:rPr>
          <w:sz w:val="20"/>
          <w:lang w:eastAsia="en-US"/>
        </w:rPr>
        <w:t>10/25/00 – FERC issued a $27,000,000 fine on Cgas for its participation in “gas imbalance transactions” with certain customers, since they were not made available to all customers.  ENA will receive a total of</w:t>
      </w:r>
      <w:r>
        <w:rPr>
          <w:rFonts w:cs="Courier" w:ascii="Courier" w:hAnsi="Courier"/>
          <w:color w:val="000000"/>
          <w:sz w:val="20"/>
          <w:lang w:eastAsia="en-US"/>
        </w:rPr>
        <w:t xml:space="preserve"> </w:t>
      </w:r>
      <w:r>
        <w:rPr>
          <w:sz w:val="20"/>
          <w:lang w:eastAsia="en-US"/>
        </w:rPr>
        <w:t>$337,627.10 for SIT penalty refunds, and Cgulf and Cgas “disgorgement”.</w:t>
      </w:r>
    </w:p>
    <w:p>
      <w:pPr>
        <w:pStyle w:val="NormalIndent"/>
        <w:rPr>
          <w:sz w:val="20"/>
        </w:rPr>
      </w:pPr>
      <w:r>
        <w:rPr>
          <w:sz w:val="20"/>
        </w:rPr>
      </w:r>
    </w:p>
    <w:p>
      <w:pPr>
        <w:pStyle w:val="Normal"/>
        <w:rPr>
          <w:b/>
          <w:sz w:val="20"/>
        </w:rPr>
      </w:pPr>
      <w:r>
        <w:rPr>
          <w:b/>
          <w:sz w:val="20"/>
        </w:rPr>
        <w:t>Columbia Gulf Transmission</w:t>
      </w:r>
    </w:p>
    <w:p>
      <w:pPr>
        <w:pStyle w:val="NormalIndent"/>
        <w:rPr>
          <w:sz w:val="20"/>
        </w:rPr>
      </w:pPr>
      <w:r>
        <w:rPr>
          <w:sz w:val="20"/>
        </w:rPr>
        <w:t>9/5/00 - CGulf filed notice of a negotiated rate agreement with Dynegy.  The filing says it is effective 9/1/00 through 9/30/01; however, the contract attached to the filing shows it effective only through 9/30/00.  It is for IT service from South Pass 49A and 78A to Egan A and Egan D for a total volume up to 80,000/d.  Dynegy must transport at least 300,000 in a month to qualify for the discount.  The rate is the difference between Gas Daily postings of Columbia Gulf-onshore and Tennessee 500, less fuel, ACA, less $.012—with a minimum rate of $.01.</w:t>
      </w:r>
    </w:p>
    <w:p>
      <w:pPr>
        <w:pStyle w:val="NormalIndent"/>
        <w:rPr>
          <w:sz w:val="20"/>
        </w:rPr>
      </w:pPr>
      <w:r>
        <w:rPr>
          <w:sz w:val="20"/>
        </w:rPr>
      </w:r>
    </w:p>
    <w:p>
      <w:pPr>
        <w:pStyle w:val="Normal"/>
        <w:ind w:start="720" w:end="0"/>
        <w:rPr>
          <w:sz w:val="20"/>
        </w:rPr>
      </w:pPr>
      <w:r>
        <w:rPr>
          <w:sz w:val="20"/>
          <w:lang w:eastAsia="en-US"/>
        </w:rPr>
        <w:t>10/11/00 – Cgulf filed notice of a negotiated rate agreement with Virginia Power Energy Marketing effective 11/1/00 for backhaul service under FTS-1, with certain provisions for an “interruption rebate” and the ability to declare a “Zero Flow Month.”  FERC directed Cgulf to clarify these aspects of the deal.  On 10/13/00, Cgulf eliminated those</w:t>
      </w:r>
      <w:r>
        <w:rPr>
          <w:color w:val="000000"/>
          <w:sz w:val="20"/>
          <w:lang w:eastAsia="en-US"/>
        </w:rPr>
        <w:t xml:space="preserve"> </w:t>
      </w:r>
      <w:r>
        <w:rPr>
          <w:sz w:val="20"/>
          <w:lang w:eastAsia="en-US"/>
        </w:rPr>
        <w:t>provisions.</w:t>
      </w:r>
    </w:p>
    <w:p>
      <w:pPr>
        <w:pStyle w:val="NormalIndent"/>
        <w:rPr>
          <w:sz w:val="20"/>
        </w:rPr>
      </w:pPr>
      <w:r>
        <w:rPr>
          <w:sz w:val="20"/>
        </w:rPr>
      </w:r>
    </w:p>
    <w:p>
      <w:pPr>
        <w:pStyle w:val="Normal"/>
        <w:rPr>
          <w:b/>
          <w:sz w:val="20"/>
        </w:rPr>
      </w:pPr>
      <w:r>
        <w:rPr>
          <w:b/>
          <w:sz w:val="20"/>
        </w:rPr>
        <w:t>Dominion Transmission, Inc.</w:t>
      </w:r>
    </w:p>
    <w:p>
      <w:pPr>
        <w:pStyle w:val="Normal"/>
        <w:ind w:start="720" w:end="0"/>
        <w:rPr>
          <w:rFonts w:ascii="Courier" w:hAnsi="Courier" w:cs="Courier"/>
          <w:color w:val="000000"/>
          <w:lang w:eastAsia="en-US"/>
        </w:rPr>
      </w:pPr>
      <w:r>
        <w:rPr>
          <w:rFonts w:cs="Courier" w:ascii="Courier" w:hAnsi="Courier"/>
          <w:color w:val="000000"/>
          <w:lang w:eastAsia="en-US"/>
        </w:rPr>
        <w:t>9</w:t>
      </w:r>
      <w:r>
        <w:rPr>
          <w:color w:val="000000"/>
          <w:sz w:val="20"/>
          <w:lang w:eastAsia="en-US"/>
        </w:rPr>
        <w:t>/29/00 – Dominion  proposed to allow netting and trading of imbalances in compliance with Order 587, but requests a waiver until 4/1/01, or when the computer system is in place to implement.</w:t>
      </w:r>
    </w:p>
    <w:p>
      <w:pPr>
        <w:pStyle w:val="Normal"/>
        <w:rPr>
          <w:b/>
          <w:sz w:val="20"/>
        </w:rPr>
      </w:pPr>
      <w:r>
        <w:rPr>
          <w:b/>
          <w:sz w:val="20"/>
        </w:rPr>
        <w:tab/>
        <w:tab/>
      </w:r>
    </w:p>
    <w:p>
      <w:pPr>
        <w:pStyle w:val="NormalIndent"/>
        <w:rPr>
          <w:color w:val="000000"/>
          <w:sz w:val="20"/>
          <w:lang w:eastAsia="en-US"/>
        </w:rPr>
      </w:pPr>
      <w:r>
        <w:rPr>
          <w:color w:val="000000"/>
          <w:sz w:val="20"/>
          <w:lang w:eastAsia="en-US"/>
        </w:rPr>
        <w:t>10/26/00 – Dominion filed notice of a negotiated rate agreement with Allegheny Energy for service from 11/1/00 through 10/31/01 from Oakford to the Springdale Interconnection on up to 25,000/d (max annual of 9,125,000 Dt).  The rate is $.20 in the summer months, and $.25-.30 for the winter months, with a minimum volume of 912,500 Dt</w:t>
      </w:r>
    </w:p>
    <w:p>
      <w:pPr>
        <w:pStyle w:val="Normal"/>
        <w:rPr>
          <w:color w:val="000000"/>
          <w:sz w:val="20"/>
          <w:lang w:eastAsia="en-US"/>
        </w:rPr>
      </w:pPr>
      <w:r>
        <w:rPr>
          <w:color w:val="000000"/>
          <w:sz w:val="20"/>
          <w:lang w:eastAsia="en-US"/>
        </w:rPr>
      </w:r>
    </w:p>
    <w:p>
      <w:pPr>
        <w:pStyle w:val="NormalIndent"/>
        <w:rPr>
          <w:sz w:val="20"/>
        </w:rPr>
      </w:pPr>
      <w:r>
        <w:rPr>
          <w:sz w:val="20"/>
        </w:rPr>
        <w:t>10/31/00 - Dominion filed notice of a negotiated rate with Central Hudson Enterprises effective 11/1/00 through 10/31/01.  For Nov-March, the rate is $.32, with a minimum volume of 339,750 Dt over the winter period.  The summer rate is $.12 with a minimum volume of 481,500 over the summer period.  This rate is for FT service from Harrison to the Therm City connection, with a MDQ of 15,000/day and a maximum annual volume of 5,940,000 Dt.</w:t>
      </w:r>
    </w:p>
    <w:p>
      <w:pPr>
        <w:pStyle w:val="NormalIndent"/>
        <w:rPr>
          <w:b/>
          <w:sz w:val="20"/>
        </w:rPr>
      </w:pPr>
      <w:r>
        <w:rPr>
          <w:b/>
          <w:sz w:val="20"/>
        </w:rPr>
      </w:r>
    </w:p>
    <w:p>
      <w:pPr>
        <w:pStyle w:val="Normal"/>
        <w:spacing w:lineRule="atLeast" w:line="240"/>
        <w:rPr/>
      </w:pPr>
      <w:r>
        <w:rPr>
          <w:b/>
          <w:color w:val="000000"/>
          <w:sz w:val="20"/>
          <w:lang w:eastAsia="en-US"/>
        </w:rPr>
        <w:t>El Paso Natural Gas</w:t>
      </w:r>
      <w:r>
        <w:rPr>
          <w:color w:val="000000"/>
          <w:sz w:val="20"/>
          <w:lang w:eastAsia="en-US"/>
        </w:rPr>
        <w:t xml:space="preserve"> </w:t>
      </w:r>
    </w:p>
    <w:p>
      <w:pPr>
        <w:pStyle w:val="Normal"/>
        <w:spacing w:lineRule="atLeast" w:line="240"/>
        <w:ind w:start="720" w:end="0"/>
        <w:rPr/>
      </w:pPr>
      <w:r>
        <w:rPr>
          <w:color w:val="000000"/>
          <w:sz w:val="20"/>
          <w:lang w:eastAsia="en-US"/>
        </w:rPr>
        <w:t>10/25/00 – In response to complaints by Amoco, FERC ruled that EPNG’s method of allocating delivery point capacity at Topock is “unjust and unreasonable” and requireD EPNG to file a revised allocation method.  Regarding KN’s complaint, FERC put it on hold until the new method is filed</w:t>
      </w:r>
      <w:r>
        <w:rPr>
          <w:rFonts w:cs="Helv;Arial" w:ascii="Helv;Arial" w:hAnsi="Helv;Arial"/>
          <w:color w:val="000000"/>
          <w:lang w:eastAsia="en-US"/>
        </w:rPr>
        <w:t xml:space="preserve">. </w:t>
      </w:r>
    </w:p>
    <w:p>
      <w:pPr>
        <w:pStyle w:val="NormalIndent"/>
        <w:rPr>
          <w:rFonts w:ascii="Helv;Arial" w:hAnsi="Helv;Arial" w:cs="Helv;Arial"/>
          <w:color w:val="000000"/>
          <w:sz w:val="20"/>
          <w:lang w:eastAsia="en-US"/>
        </w:rPr>
      </w:pPr>
      <w:r>
        <w:rPr>
          <w:rFonts w:cs="Helv;Arial" w:ascii="Helv;Arial" w:hAnsi="Helv;Arial"/>
          <w:color w:val="000000"/>
          <w:sz w:val="20"/>
          <w:lang w:eastAsia="en-US"/>
        </w:rPr>
      </w:r>
    </w:p>
    <w:p>
      <w:pPr>
        <w:pStyle w:val="Normal"/>
        <w:rPr>
          <w:b/>
          <w:sz w:val="20"/>
        </w:rPr>
      </w:pPr>
      <w:r>
        <w:rPr>
          <w:b/>
          <w:sz w:val="20"/>
        </w:rPr>
        <w:t>Florida Gas Transmission Company</w:t>
      </w:r>
    </w:p>
    <w:p>
      <w:pPr>
        <w:pStyle w:val="NormalIndent"/>
        <w:rPr>
          <w:sz w:val="20"/>
        </w:rPr>
      </w:pPr>
      <w:r>
        <w:rPr>
          <w:sz w:val="20"/>
        </w:rPr>
        <w:t>11/1/00 - FGT filed an amendment to its Phase V facilities to reduce costs and the environmental impact.</w:t>
      </w:r>
    </w:p>
    <w:p>
      <w:pPr>
        <w:pStyle w:val="NormalIndent"/>
        <w:rPr>
          <w:sz w:val="20"/>
        </w:rPr>
      </w:pPr>
      <w:r>
        <w:rPr>
          <w:sz w:val="20"/>
        </w:rPr>
      </w:r>
    </w:p>
    <w:p>
      <w:pPr>
        <w:pStyle w:val="Heading7"/>
        <w:ind w:hanging="0" w:start="0"/>
        <w:rPr/>
      </w:pPr>
      <w:r>
        <w:rPr/>
        <w:t xml:space="preserve">Great Lakes Gas Transmission Limited Partnership </w:t>
      </w:r>
    </w:p>
    <w:p>
      <w:pPr>
        <w:pStyle w:val="Normal"/>
        <w:spacing w:lineRule="atLeast" w:line="240"/>
        <w:ind w:start="720" w:end="0"/>
        <w:rPr>
          <w:color w:val="000000"/>
          <w:sz w:val="20"/>
          <w:lang w:eastAsia="en-US"/>
        </w:rPr>
      </w:pPr>
      <w:r>
        <w:rPr>
          <w:color w:val="000000"/>
          <w:sz w:val="20"/>
          <w:lang w:eastAsia="en-US"/>
        </w:rPr>
        <w:t xml:space="preserve">10/25/00 – FERC approved GL’s rate settlement for non-contesting parties effective 11/1/00.  Rochester Gas is a contesting party and is severed from the settlement. </w:t>
      </w:r>
    </w:p>
    <w:p>
      <w:pPr>
        <w:pStyle w:val="Normal"/>
        <w:spacing w:lineRule="atLeast" w:line="240"/>
        <w:rPr>
          <w:color w:val="000000"/>
          <w:sz w:val="20"/>
          <w:lang w:eastAsia="en-US"/>
        </w:rPr>
      </w:pPr>
      <w:r>
        <w:rPr>
          <w:color w:val="000000"/>
          <w:sz w:val="20"/>
          <w:lang w:eastAsia="en-US"/>
        </w:rPr>
      </w:r>
    </w:p>
    <w:p>
      <w:pPr>
        <w:pStyle w:val="Normal"/>
        <w:spacing w:lineRule="atLeast" w:line="240"/>
        <w:ind w:start="720" w:end="0"/>
        <w:rPr>
          <w:color w:val="000000"/>
          <w:sz w:val="20"/>
          <w:lang w:eastAsia="en-US"/>
        </w:rPr>
      </w:pPr>
      <w:r>
        <w:rPr>
          <w:color w:val="000000"/>
          <w:sz w:val="20"/>
          <w:lang w:eastAsia="en-US"/>
        </w:rPr>
        <w:t xml:space="preserve">10/17/00 – GL filed notice of a negotiated agreement with Midland Cogen effective 11/1/00 through 10/31/10 for up to 30,000/d from Emerson to Chippewa.  The demand charge is $9.366 monthly for the first 5 years, then max rate thereafter (with a $10.278 cap and a $9.366 floor). </w:t>
      </w:r>
    </w:p>
    <w:p>
      <w:pPr>
        <w:pStyle w:val="Normal"/>
        <w:spacing w:lineRule="atLeast" w:line="240"/>
        <w:rPr>
          <w:color w:val="000000"/>
          <w:sz w:val="20"/>
          <w:lang w:eastAsia="en-US"/>
        </w:rPr>
      </w:pPr>
      <w:r>
        <w:rPr>
          <w:color w:val="000000"/>
          <w:sz w:val="20"/>
          <w:lang w:eastAsia="en-US"/>
        </w:rPr>
      </w:r>
    </w:p>
    <w:p>
      <w:pPr>
        <w:pStyle w:val="Heading7"/>
        <w:spacing w:lineRule="auto" w:line="240"/>
        <w:ind w:hanging="0" w:start="0"/>
        <w:rPr/>
      </w:pPr>
      <w:r>
        <w:rPr/>
        <w:t>Iroquois Gas Transmission System</w:t>
      </w:r>
    </w:p>
    <w:p>
      <w:pPr>
        <w:pStyle w:val="NormalIndent"/>
        <w:rPr>
          <w:sz w:val="20"/>
          <w:lang w:eastAsia="en-US"/>
        </w:rPr>
      </w:pPr>
      <w:r>
        <w:rPr>
          <w:sz w:val="20"/>
          <w:lang w:eastAsia="en-US"/>
        </w:rPr>
        <w:t>11/6/00 – Iroquois filed notice of a negotiated rate with Duke Energy effective 11/1/00 through 4/1/01 for service from Wright to Waddington and South Commack to Wright—30,000/d.  The demand charge is a formula based on Gas Daily.</w:t>
      </w:r>
    </w:p>
    <w:p>
      <w:pPr>
        <w:pStyle w:val="Normal"/>
        <w:spacing w:lineRule="atLeast" w:line="240"/>
        <w:rPr>
          <w:color w:val="000000"/>
          <w:sz w:val="20"/>
          <w:lang w:eastAsia="en-US"/>
        </w:rPr>
      </w:pPr>
      <w:r>
        <w:rPr>
          <w:color w:val="000000"/>
          <w:sz w:val="20"/>
          <w:lang w:eastAsia="en-US"/>
        </w:rPr>
      </w:r>
    </w:p>
    <w:p>
      <w:pPr>
        <w:pStyle w:val="Heading7"/>
        <w:ind w:hanging="0" w:start="0"/>
        <w:rPr/>
      </w:pPr>
      <w:r>
        <w:rPr/>
        <w:t xml:space="preserve">Kern River </w:t>
      </w:r>
    </w:p>
    <w:p>
      <w:pPr>
        <w:pStyle w:val="Normal"/>
        <w:spacing w:lineRule="atLeast" w:line="240"/>
        <w:ind w:start="720" w:end="0"/>
        <w:rPr>
          <w:color w:val="000000"/>
          <w:sz w:val="20"/>
          <w:lang w:eastAsia="en-US"/>
        </w:rPr>
      </w:pPr>
      <w:r>
        <w:rPr>
          <w:color w:val="000000"/>
          <w:sz w:val="20"/>
          <w:lang w:eastAsia="en-US"/>
        </w:rPr>
        <w:t xml:space="preserve">10/12/00 – technical conference:  major issue was segmentation—several aspects of segmentation were discussed with an agreement to submit comments to Kern (informal) by December 15, with Kern’s second draft with FERC to be submitted by 1/15/01. </w:t>
      </w:r>
    </w:p>
    <w:p>
      <w:pPr>
        <w:pStyle w:val="Normal"/>
        <w:spacing w:lineRule="atLeast" w:line="240"/>
        <w:rPr>
          <w:color w:val="000000"/>
          <w:sz w:val="20"/>
          <w:lang w:eastAsia="en-US"/>
        </w:rPr>
      </w:pPr>
      <w:r>
        <w:rPr>
          <w:color w:val="000000"/>
          <w:sz w:val="20"/>
          <w:lang w:eastAsia="en-US"/>
        </w:rPr>
      </w:r>
    </w:p>
    <w:p>
      <w:pPr>
        <w:pStyle w:val="Heading7"/>
        <w:ind w:hanging="0" w:start="0"/>
        <w:rPr/>
      </w:pPr>
      <w:r>
        <w:rPr/>
        <w:t>Koch Gateway Pipeline Company</w:t>
      </w:r>
    </w:p>
    <w:p>
      <w:pPr>
        <w:pStyle w:val="Normal"/>
        <w:spacing w:lineRule="atLeast" w:line="240"/>
        <w:ind w:start="540" w:end="0"/>
        <w:rPr>
          <w:color w:val="000000"/>
          <w:sz w:val="20"/>
          <w:lang w:eastAsia="en-US"/>
        </w:rPr>
      </w:pPr>
      <w:r>
        <w:rPr>
          <w:color w:val="000000"/>
          <w:sz w:val="20"/>
          <w:lang w:eastAsia="en-US"/>
        </w:rPr>
        <w:t>10/25/00 – The technical conference regarding Koch’s 637 compliance filing: Koch clarified its OFO vs SMP (system management plan) and agreed to provide a list of factors that would trigger a critical period.  Regarding imbalances and trading of those, Koch wants to set up imbalance accounts details, to which Southern expressed opposition.  Koch also intends to charge a transportation charge in order to clear short imbalances.  Koch continues to argue that it cannot allow segmentation on its system.</w:t>
      </w:r>
    </w:p>
    <w:p>
      <w:pPr>
        <w:pStyle w:val="Normal"/>
        <w:spacing w:lineRule="atLeast" w:line="240"/>
        <w:ind w:start="540" w:end="0"/>
        <w:rPr>
          <w:color w:val="000000"/>
          <w:sz w:val="20"/>
          <w:lang w:eastAsia="en-US"/>
        </w:rPr>
      </w:pPr>
      <w:r>
        <w:rPr>
          <w:color w:val="000000"/>
          <w:sz w:val="20"/>
          <w:lang w:eastAsia="en-US"/>
        </w:rPr>
      </w:r>
    </w:p>
    <w:p>
      <w:pPr>
        <w:pStyle w:val="Normal"/>
        <w:ind w:start="540" w:end="0"/>
        <w:rPr>
          <w:color w:val="000000"/>
          <w:sz w:val="20"/>
          <w:lang w:eastAsia="en-US"/>
        </w:rPr>
      </w:pPr>
      <w:r>
        <w:rPr>
          <w:color w:val="000000"/>
          <w:sz w:val="20"/>
          <w:lang w:eastAsia="en-US"/>
        </w:rPr>
        <w:t>11/2/00 – Koch filed notice of a P&amp;L option with Dynegy for 1 Bcf to be parked in November and withdrawn in February 2001 at Venice.  The fee is $.08 for the option, plus Koch receives 83% of the spread (less the$.08) for each time the spread is put on or taken off.  Koch also filed notice of a negotiated rate with Laclede for service from Carthage to MRT, 40,000/day, at a monthly demand of $.5962.  There are several supplemental receipt points approved.</w:t>
      </w:r>
    </w:p>
    <w:p>
      <w:pPr>
        <w:pStyle w:val="Normal"/>
        <w:spacing w:lineRule="atLeast" w:line="240"/>
        <w:rPr>
          <w:color w:val="000000"/>
          <w:sz w:val="20"/>
          <w:lang w:eastAsia="en-US"/>
        </w:rPr>
      </w:pPr>
      <w:r>
        <w:rPr>
          <w:color w:val="000000"/>
          <w:sz w:val="20"/>
          <w:lang w:eastAsia="en-US"/>
        </w:rPr>
      </w:r>
    </w:p>
    <w:p>
      <w:pPr>
        <w:pStyle w:val="Heading7"/>
        <w:ind w:hanging="0" w:start="0"/>
        <w:rPr/>
      </w:pPr>
      <w:r>
        <w:rPr/>
        <w:t xml:space="preserve">Maritimes &amp; Northeast </w:t>
      </w:r>
    </w:p>
    <w:p>
      <w:pPr>
        <w:pStyle w:val="Normal"/>
        <w:ind w:start="720" w:end="0"/>
        <w:rPr>
          <w:color w:val="000000"/>
          <w:sz w:val="20"/>
          <w:lang w:eastAsia="en-US"/>
        </w:rPr>
      </w:pPr>
      <w:r>
        <w:rPr>
          <w:color w:val="000000"/>
          <w:sz w:val="20"/>
          <w:lang w:eastAsia="en-US"/>
        </w:rPr>
        <w:t>10/13/00 M&amp;N filed its revised Fuel Retainage Percentages for the four months beginning 11/1/00, reflecting decreases of .5% in winter and .1% in spring and fall.</w:t>
      </w:r>
    </w:p>
    <w:p>
      <w:pPr>
        <w:pStyle w:val="Normal"/>
        <w:ind w:start="720" w:end="0"/>
        <w:rPr>
          <w:b/>
          <w:color w:val="000000"/>
          <w:sz w:val="20"/>
          <w:lang w:eastAsia="en-US"/>
        </w:rPr>
      </w:pPr>
      <w:r>
        <w:rPr>
          <w:b/>
          <w:color w:val="000000"/>
          <w:sz w:val="20"/>
          <w:lang w:eastAsia="en-US"/>
        </w:rPr>
      </w:r>
    </w:p>
    <w:p>
      <w:pPr>
        <w:pStyle w:val="Normal"/>
        <w:spacing w:lineRule="atLeast" w:line="240"/>
        <w:rPr/>
      </w:pPr>
      <w:r>
        <w:rPr>
          <w:b/>
          <w:color w:val="000000"/>
          <w:sz w:val="20"/>
          <w:lang w:eastAsia="en-US"/>
        </w:rPr>
        <w:t>Millennium Pipeline Company</w:t>
      </w:r>
      <w:r>
        <w:rPr>
          <w:color w:val="000000"/>
          <w:sz w:val="20"/>
          <w:lang w:eastAsia="en-US"/>
        </w:rPr>
        <w:t xml:space="preserve"> </w:t>
      </w:r>
    </w:p>
    <w:p>
      <w:pPr>
        <w:pStyle w:val="Normal"/>
        <w:spacing w:lineRule="atLeast" w:line="240"/>
        <w:rPr>
          <w:color w:val="000000"/>
          <w:sz w:val="20"/>
          <w:lang w:eastAsia="en-US"/>
        </w:rPr>
      </w:pPr>
      <w:r>
        <w:rPr>
          <w:color w:val="000000"/>
          <w:sz w:val="20"/>
          <w:lang w:eastAsia="en-US"/>
        </w:rPr>
        <w:tab/>
        <w:tab/>
        <w:t xml:space="preserve">10/26/00 - Millennium proposed a new in-service date of 11/1/02. </w:t>
      </w:r>
    </w:p>
    <w:p>
      <w:pPr>
        <w:pStyle w:val="Normal"/>
        <w:rPr>
          <w:b/>
          <w:color w:val="000000"/>
          <w:sz w:val="20"/>
          <w:lang w:eastAsia="en-US"/>
        </w:rPr>
      </w:pPr>
      <w:r>
        <w:rPr>
          <w:b/>
          <w:color w:val="000000"/>
          <w:sz w:val="20"/>
          <w:lang w:eastAsia="en-US"/>
        </w:rPr>
      </w:r>
    </w:p>
    <w:p>
      <w:pPr>
        <w:pStyle w:val="Normal"/>
        <w:rPr>
          <w:b/>
          <w:sz w:val="20"/>
        </w:rPr>
      </w:pPr>
      <w:r>
        <w:rPr>
          <w:b/>
          <w:sz w:val="20"/>
        </w:rPr>
        <w:t>Natural Gas Pipeline Company</w:t>
      </w:r>
    </w:p>
    <w:p>
      <w:pPr>
        <w:pStyle w:val="Normal"/>
        <w:rPr>
          <w:b/>
          <w:sz w:val="20"/>
        </w:rPr>
      </w:pPr>
      <w:r>
        <w:rPr>
          <w:b/>
          <w:sz w:val="20"/>
        </w:rPr>
      </w:r>
    </w:p>
    <w:p>
      <w:pPr>
        <w:pStyle w:val="Normal"/>
        <w:rPr>
          <w:b/>
          <w:sz w:val="20"/>
        </w:rPr>
      </w:pPr>
      <w:r>
        <w:rPr>
          <w:b/>
          <w:sz w:val="20"/>
        </w:rPr>
        <w:t>Northern Natural Gas Company</w:t>
      </w:r>
    </w:p>
    <w:p>
      <w:pPr>
        <w:pStyle w:val="NormalIndent"/>
        <w:rPr>
          <w:sz w:val="20"/>
        </w:rPr>
      </w:pPr>
      <w:r>
        <w:rPr>
          <w:sz w:val="20"/>
        </w:rPr>
        <w:t>10/31/00 - NNG filed notice of a negotiated rate transaction with Midwest Natural Gas under rate schedule TFX effective 11/1/00 through 10/31/07.  The Primary Receipt Point is Ventura through 10/01;  beginning 11/01 that changes to Carlton in the winter months and Demarcation in the summer months.  The reservation rate is $4.498 (max tariff rate) for the summer months and $69.81 for the winter months, exclusive of surcharges.  Commodity shall be the maximum tariff rate in effect.  If the costs associated with TBS and branchline facility modifications exceed initial projections, NNG may raise the rate.</w:t>
      </w:r>
    </w:p>
    <w:p>
      <w:pPr>
        <w:pStyle w:val="NormalIndent"/>
        <w:rPr>
          <w:sz w:val="20"/>
        </w:rPr>
      </w:pPr>
      <w:r>
        <w:rPr>
          <w:sz w:val="20"/>
        </w:rPr>
      </w:r>
    </w:p>
    <w:p>
      <w:pPr>
        <w:pStyle w:val="Normal"/>
        <w:spacing w:lineRule="atLeast" w:line="240"/>
        <w:rPr>
          <w:b/>
          <w:color w:val="000000"/>
          <w:sz w:val="20"/>
          <w:lang w:eastAsia="en-US"/>
        </w:rPr>
      </w:pPr>
      <w:r>
        <w:rPr>
          <w:b/>
          <w:color w:val="000000"/>
          <w:sz w:val="20"/>
          <w:lang w:eastAsia="en-US"/>
        </w:rPr>
        <w:t xml:space="preserve">PG&amp;E Gas Transmission (PGT) </w:t>
      </w:r>
    </w:p>
    <w:p>
      <w:pPr>
        <w:pStyle w:val="NormalIndent"/>
        <w:rPr>
          <w:color w:val="000000"/>
          <w:sz w:val="20"/>
          <w:lang w:eastAsia="en-US"/>
        </w:rPr>
      </w:pPr>
      <w:r>
        <w:rPr>
          <w:color w:val="000000"/>
          <w:sz w:val="20"/>
          <w:lang w:eastAsia="en-US"/>
        </w:rPr>
        <w:t>10/25/00 – PG&amp;E’s proposed pro rata allocation methodology as the tie breaker for max rate bids was approved by FERC effective immediately.</w:t>
      </w:r>
    </w:p>
    <w:p>
      <w:pPr>
        <w:pStyle w:val="NormalIndent"/>
        <w:rPr>
          <w:color w:val="000000"/>
          <w:sz w:val="20"/>
          <w:lang w:eastAsia="en-US"/>
        </w:rPr>
      </w:pPr>
      <w:r>
        <w:rPr>
          <w:color w:val="000000"/>
          <w:sz w:val="20"/>
          <w:lang w:eastAsia="en-US"/>
        </w:rPr>
      </w:r>
    </w:p>
    <w:p>
      <w:pPr>
        <w:pStyle w:val="Normal"/>
        <w:rPr>
          <w:b/>
          <w:sz w:val="20"/>
        </w:rPr>
      </w:pPr>
      <w:r>
        <w:rPr>
          <w:b/>
          <w:sz w:val="20"/>
        </w:rPr>
        <w:t>Questar Pipeline Company</w:t>
      </w:r>
    </w:p>
    <w:p>
      <w:pPr>
        <w:pStyle w:val="NormalIndent"/>
        <w:rPr>
          <w:sz w:val="20"/>
        </w:rPr>
      </w:pPr>
      <w:r>
        <w:rPr>
          <w:sz w:val="20"/>
        </w:rPr>
        <w:t>10/20/00 - Questar filed an out of cycle request for a reduction in fuel percentage to be effective 10/1/00.  The rate changes from 2.1% to 1.4% through 1/1/01 and was approved by FERC.</w:t>
      </w:r>
    </w:p>
    <w:p>
      <w:pPr>
        <w:pStyle w:val="NormalIndent"/>
        <w:rPr>
          <w:sz w:val="20"/>
        </w:rPr>
      </w:pPr>
      <w:r>
        <w:rPr>
          <w:sz w:val="20"/>
        </w:rPr>
      </w:r>
    </w:p>
    <w:p>
      <w:pPr>
        <w:pStyle w:val="Normal"/>
        <w:rPr>
          <w:b/>
          <w:sz w:val="20"/>
        </w:rPr>
      </w:pPr>
      <w:r>
        <w:rPr>
          <w:b/>
          <w:sz w:val="20"/>
        </w:rPr>
        <w:t>Reliant Gas Transmission Company</w:t>
      </w:r>
    </w:p>
    <w:p>
      <w:pPr>
        <w:pStyle w:val="NormalIndent"/>
        <w:rPr>
          <w:sz w:val="20"/>
        </w:rPr>
      </w:pPr>
      <w:r>
        <w:rPr>
          <w:sz w:val="20"/>
        </w:rPr>
        <w:t>9/8/00 - Reliant requested a blanket waiver effective 10/9/00 of fuel specific charges and Electric Power Costs for all volumes received on Line LIM-1 and delivered to a proposed Koch interconnect.  This interconnect is being built due to operational constraints on that line which have caused certain wells to be shut in, and also to accommodate new volumes from wells to be drilled in this field.</w:t>
      </w:r>
    </w:p>
    <w:p>
      <w:pPr>
        <w:pStyle w:val="NormalIndent"/>
        <w:rPr>
          <w:sz w:val="20"/>
        </w:rPr>
      </w:pPr>
      <w:r>
        <w:rPr>
          <w:sz w:val="20"/>
        </w:rPr>
      </w:r>
    </w:p>
    <w:p>
      <w:pPr>
        <w:pStyle w:val="NormalIndent"/>
        <w:rPr>
          <w:sz w:val="20"/>
        </w:rPr>
      </w:pPr>
      <w:r>
        <w:rPr>
          <w:color w:val="000000"/>
          <w:sz w:val="20"/>
          <w:lang w:eastAsia="en-US"/>
        </w:rPr>
        <w:t>10/25/00 – FERC accepted Reliant’s in-kind balancing option for Rate Schedule ANS (Auto-Nom Service) shippers effective 11/1/00.</w:t>
      </w:r>
    </w:p>
    <w:p>
      <w:pPr>
        <w:pStyle w:val="NormalIndent"/>
        <w:rPr>
          <w:sz w:val="20"/>
        </w:rPr>
      </w:pPr>
      <w:r>
        <w:rPr>
          <w:sz w:val="20"/>
        </w:rPr>
      </w:r>
    </w:p>
    <w:p>
      <w:pPr>
        <w:pStyle w:val="NormalIndent"/>
        <w:rPr>
          <w:sz w:val="20"/>
        </w:rPr>
      </w:pPr>
      <w:r>
        <w:rPr>
          <w:sz w:val="20"/>
        </w:rPr>
        <w:t>11/6/00 - Reliant filed notice of two negotiated rate transactions with Dynegy.  Both deals are for FT service of 25,000/d from Neutral, South, West 1 and West 2 pooling areas to CGT, Sonat, ANR &amp; TGT/Perryville, Trunkline at Richland, Tenn 100, Tenn 800  and TETCO and Koch at West Monroe.  The rate is either a Gas Daily or Inside FERC spread, less fuel less $.01, with a minimum rate of $.01.</w:t>
      </w:r>
    </w:p>
    <w:p>
      <w:pPr>
        <w:pStyle w:val="Normal"/>
        <w:spacing w:lineRule="atLeast" w:line="240"/>
        <w:rPr>
          <w:rFonts w:ascii="Helv;Arial" w:hAnsi="Helv;Arial" w:cs="Helv;Arial"/>
          <w:color w:val="000000"/>
          <w:sz w:val="20"/>
          <w:lang w:eastAsia="en-US"/>
        </w:rPr>
      </w:pPr>
      <w:r>
        <w:rPr>
          <w:rFonts w:cs="Helv;Arial" w:ascii="Helv;Arial" w:hAnsi="Helv;Arial"/>
          <w:color w:val="000000"/>
          <w:sz w:val="20"/>
          <w:lang w:eastAsia="en-US"/>
        </w:rPr>
      </w:r>
    </w:p>
    <w:p>
      <w:pPr>
        <w:pStyle w:val="Normal"/>
        <w:rPr>
          <w:b/>
          <w:sz w:val="20"/>
        </w:rPr>
      </w:pPr>
      <w:r>
        <w:rPr>
          <w:b/>
          <w:sz w:val="20"/>
        </w:rPr>
        <w:t>Tennessee Gas Pipeline Company</w:t>
      </w:r>
    </w:p>
    <w:p>
      <w:pPr>
        <w:pStyle w:val="NormalIndent"/>
        <w:rPr>
          <w:sz w:val="20"/>
        </w:rPr>
      </w:pPr>
      <w:r>
        <w:rPr>
          <w:sz w:val="20"/>
        </w:rPr>
        <w:t>8/11/00 - Tenn filed a settlement offer related to Reliant Energy’s opposition to Tenn’s rate zone.  Reliant filed an appeal after the last rate case settlement arguing that FERC had not considered their objection to the impact of Tenn’s production area rate zone on the Perryville Market Center.  Since the court agreed and sent the matter back to FERC, Tenn has negotiated with Reliant and has agreed to a discount for all volumes received at Perryville.  The discount is $.045 for the commodity portion of its FT rate (or the minimum) and for IT service the rate shall equal the applicable Rate Schedule FT-A max commodity rate.  This would be for all service from the Perryville Hub points to any primary and secondary delivery points requested by shippers.  These rates would be good for 3 years.</w:t>
      </w:r>
    </w:p>
    <w:p>
      <w:pPr>
        <w:pStyle w:val="NormalIndent"/>
        <w:rPr>
          <w:sz w:val="20"/>
        </w:rPr>
      </w:pPr>
      <w:r>
        <w:rPr>
          <w:sz w:val="20"/>
        </w:rPr>
      </w:r>
    </w:p>
    <w:p>
      <w:pPr>
        <w:pStyle w:val="Normal"/>
        <w:spacing w:lineRule="atLeast" w:line="240"/>
        <w:ind w:start="720" w:end="0"/>
        <w:rPr>
          <w:color w:val="000000"/>
          <w:sz w:val="20"/>
          <w:lang w:eastAsia="en-US"/>
        </w:rPr>
      </w:pPr>
      <w:r>
        <w:rPr>
          <w:color w:val="000000"/>
          <w:sz w:val="20"/>
          <w:lang w:eastAsia="en-US"/>
        </w:rPr>
        <w:t>10/20/00 – Tennessee filed notice of a negotiated rate amendment with Dynegy Marketing effective 11/1/00 through 10/31/01.</w:t>
      </w:r>
    </w:p>
    <w:p>
      <w:pPr>
        <w:pStyle w:val="Normal"/>
        <w:spacing w:lineRule="atLeast" w:line="240"/>
        <w:ind w:start="720" w:end="0"/>
        <w:rPr>
          <w:rFonts w:ascii="Helv;Arial" w:hAnsi="Helv;Arial" w:cs="Helv;Arial"/>
          <w:color w:val="000000"/>
          <w:sz w:val="20"/>
          <w:lang w:eastAsia="en-US"/>
        </w:rPr>
      </w:pPr>
      <w:r>
        <w:rPr>
          <w:rFonts w:cs="Helv;Arial" w:ascii="Helv;Arial" w:hAnsi="Helv;Arial"/>
          <w:color w:val="000000"/>
          <w:sz w:val="20"/>
          <w:lang w:eastAsia="en-US"/>
        </w:rPr>
      </w:r>
    </w:p>
    <w:p>
      <w:pPr>
        <w:pStyle w:val="Normal"/>
        <w:spacing w:lineRule="atLeast" w:line="240"/>
        <w:ind w:start="720" w:end="0"/>
        <w:rPr>
          <w:color w:val="000000"/>
          <w:sz w:val="20"/>
          <w:lang w:eastAsia="en-US"/>
        </w:rPr>
      </w:pPr>
      <w:r>
        <w:rPr>
          <w:color w:val="000000"/>
          <w:sz w:val="20"/>
          <w:lang w:eastAsia="en-US"/>
        </w:rPr>
        <w:t xml:space="preserve">11/3/00 – Tenn filed a new hourly firm transportation service (FT-H) at points where balancing agreements are in place and monitoring equipment has been installed.  FT-H contracts would be eligible for capacity release.  Tenn is asking for approval to begin this service on 12/14/00. </w:t>
      </w:r>
    </w:p>
    <w:p>
      <w:pPr>
        <w:pStyle w:val="Normal"/>
        <w:spacing w:lineRule="atLeast" w:line="240"/>
        <w:rPr>
          <w:color w:val="000000"/>
          <w:sz w:val="20"/>
          <w:lang w:eastAsia="en-US"/>
        </w:rPr>
      </w:pPr>
      <w:r>
        <w:rPr>
          <w:color w:val="000000"/>
          <w:sz w:val="20"/>
          <w:lang w:eastAsia="en-US"/>
        </w:rPr>
      </w:r>
    </w:p>
    <w:p>
      <w:pPr>
        <w:pStyle w:val="NormalIndent"/>
        <w:rPr>
          <w:color w:val="000000"/>
          <w:sz w:val="20"/>
          <w:lang w:eastAsia="en-US"/>
        </w:rPr>
      </w:pPr>
      <w:r>
        <w:rPr>
          <w:color w:val="000000"/>
          <w:sz w:val="20"/>
          <w:lang w:eastAsia="en-US"/>
        </w:rPr>
        <w:t>10/26/00 – FERC extended the deadline for completing the Eastern Express Project 2000 until 6/1/01.</w:t>
      </w:r>
    </w:p>
    <w:p>
      <w:pPr>
        <w:pStyle w:val="NormalIndent"/>
        <w:rPr>
          <w:color w:val="000000"/>
          <w:sz w:val="20"/>
          <w:lang w:eastAsia="en-US"/>
        </w:rPr>
      </w:pPr>
      <w:r>
        <w:rPr>
          <w:color w:val="000000"/>
          <w:sz w:val="20"/>
          <w:lang w:eastAsia="en-US"/>
        </w:rPr>
      </w:r>
    </w:p>
    <w:p>
      <w:pPr>
        <w:pStyle w:val="Normal"/>
        <w:rPr>
          <w:b/>
          <w:sz w:val="20"/>
        </w:rPr>
      </w:pPr>
      <w:r>
        <w:rPr>
          <w:b/>
          <w:sz w:val="20"/>
        </w:rPr>
        <w:t>Texas Eastern Transmission Corporation</w:t>
      </w:r>
    </w:p>
    <w:p>
      <w:pPr>
        <w:pStyle w:val="NormalIndent"/>
        <w:rPr>
          <w:sz w:val="20"/>
        </w:rPr>
      </w:pPr>
      <w:r>
        <w:rPr>
          <w:sz w:val="20"/>
        </w:rPr>
        <w:t>9/1/00 - TETCO filed its new Operational Segment Capacity Entitlements effective 11/1/00 for all FT holders on its system.</w:t>
      </w:r>
    </w:p>
    <w:p>
      <w:pPr>
        <w:pStyle w:val="NormalIndent"/>
        <w:rPr>
          <w:sz w:val="20"/>
        </w:rPr>
      </w:pPr>
      <w:r>
        <w:rPr>
          <w:sz w:val="20"/>
        </w:rPr>
      </w:r>
    </w:p>
    <w:p>
      <w:pPr>
        <w:pStyle w:val="Normal"/>
        <w:spacing w:lineRule="atLeast" w:line="240"/>
        <w:ind w:start="720" w:end="0"/>
        <w:rPr>
          <w:color w:val="000000"/>
          <w:sz w:val="20"/>
          <w:lang w:eastAsia="en-US"/>
        </w:rPr>
      </w:pPr>
      <w:r>
        <w:rPr>
          <w:color w:val="000000"/>
          <w:sz w:val="20"/>
          <w:lang w:eastAsia="en-US"/>
        </w:rPr>
        <w:t xml:space="preserve">10/25/00 – TETCO’s firm hourly service is accepted and will be effective the earlier of a date set by the Commission’s next order or 4/1/00. </w:t>
      </w:r>
    </w:p>
    <w:p>
      <w:pPr>
        <w:pStyle w:val="Normal"/>
        <w:spacing w:lineRule="atLeast" w:line="240"/>
        <w:ind w:start="720" w:end="0"/>
        <w:rPr>
          <w:color w:val="000000"/>
          <w:sz w:val="20"/>
          <w:lang w:eastAsia="en-US"/>
        </w:rPr>
      </w:pPr>
      <w:r>
        <w:rPr>
          <w:color w:val="000000"/>
          <w:sz w:val="20"/>
          <w:lang w:eastAsia="en-US"/>
        </w:rPr>
      </w:r>
    </w:p>
    <w:p>
      <w:pPr>
        <w:pStyle w:val="Heading7"/>
        <w:ind w:hanging="0" w:start="0"/>
        <w:rPr/>
      </w:pPr>
      <w:r>
        <w:rPr/>
        <w:t xml:space="preserve">Texas Gas Transmission </w:t>
      </w:r>
    </w:p>
    <w:p>
      <w:pPr>
        <w:pStyle w:val="Normal"/>
        <w:spacing w:lineRule="atLeast" w:line="240"/>
        <w:ind w:start="720" w:end="0"/>
        <w:rPr/>
      </w:pPr>
      <w:r>
        <w:rPr>
          <w:color w:val="000000"/>
          <w:sz w:val="20"/>
          <w:lang w:eastAsia="en-US"/>
        </w:rPr>
        <w:t>10/25/00 – FERC issued an order accepting TGT’s compliance filing, subject to TGT submitting revised tariff sheets reflecting certain changes to its form of FT agreement.</w:t>
      </w:r>
      <w:r>
        <w:rPr>
          <w:rFonts w:cs="Helv;Arial" w:ascii="Helv;Arial" w:hAnsi="Helv;Arial"/>
          <w:color w:val="000000"/>
          <w:lang w:eastAsia="en-US"/>
        </w:rPr>
        <w:t xml:space="preserve"> </w:t>
      </w:r>
    </w:p>
    <w:p>
      <w:pPr>
        <w:pStyle w:val="NormalIndent"/>
        <w:rPr>
          <w:rFonts w:ascii="Helv;Arial" w:hAnsi="Helv;Arial" w:cs="Helv;Arial"/>
          <w:color w:val="000000"/>
          <w:sz w:val="20"/>
          <w:lang w:eastAsia="en-US"/>
        </w:rPr>
      </w:pPr>
      <w:r>
        <w:rPr>
          <w:rFonts w:cs="Helv;Arial" w:ascii="Helv;Arial" w:hAnsi="Helv;Arial"/>
          <w:color w:val="000000"/>
          <w:sz w:val="20"/>
          <w:lang w:eastAsia="en-US"/>
        </w:rPr>
      </w:r>
    </w:p>
    <w:p>
      <w:pPr>
        <w:pStyle w:val="Normal"/>
        <w:rPr>
          <w:b/>
          <w:sz w:val="20"/>
        </w:rPr>
      </w:pPr>
      <w:r>
        <w:rPr>
          <w:b/>
          <w:sz w:val="20"/>
        </w:rPr>
        <w:t>Transcontinental Gas Pipe Line Corporation</w:t>
      </w:r>
    </w:p>
    <w:p>
      <w:pPr>
        <w:pStyle w:val="NormalIndent"/>
        <w:rPr>
          <w:sz w:val="20"/>
        </w:rPr>
      </w:pPr>
      <w:r>
        <w:rPr>
          <w:sz w:val="20"/>
        </w:rPr>
        <w:t>10/31/00 - Transco filed notice of a negotiated rate under Rate Schedule FT with the South Coast Expansion Project Customers (AGL, MGAG--agent, Santee Cooper, Southern Company Services—agent, Sylacauga Utilities Board, Visy Paper, Inc.).  The agreements all cover service beginning 11/1/00 for 10 to 15 years for various volumes and rates from the Mobile Bay interconnect to the citygates.</w:t>
      </w:r>
    </w:p>
    <w:p>
      <w:pPr>
        <w:pStyle w:val="Normal"/>
        <w:spacing w:lineRule="atLeast" w:line="240"/>
        <w:rPr>
          <w:rFonts w:ascii="Helv;Arial" w:hAnsi="Helv;Arial" w:cs="Helv;Arial"/>
          <w:color w:val="000000"/>
          <w:sz w:val="20"/>
          <w:lang w:eastAsia="en-US"/>
        </w:rPr>
      </w:pPr>
      <w:r>
        <w:rPr>
          <w:rFonts w:cs="Helv;Arial" w:ascii="Helv;Arial" w:hAnsi="Helv;Arial"/>
          <w:color w:val="000000"/>
          <w:sz w:val="20"/>
          <w:lang w:eastAsia="en-US"/>
        </w:rPr>
      </w:r>
    </w:p>
    <w:p>
      <w:pPr>
        <w:pStyle w:val="Normal"/>
        <w:spacing w:lineRule="atLeast" w:line="240"/>
        <w:ind w:start="720" w:end="0"/>
        <w:rPr>
          <w:color w:val="000000"/>
          <w:sz w:val="20"/>
          <w:lang w:eastAsia="en-US"/>
        </w:rPr>
      </w:pPr>
      <w:r>
        <w:rPr>
          <w:color w:val="000000"/>
          <w:sz w:val="20"/>
          <w:lang w:eastAsia="en-US"/>
        </w:rPr>
        <w:t xml:space="preserve">10/25/00 – Transco will make an interim partial refund (for over-collections) to non-contesting parties from its January 20, 1998 settlement. </w:t>
      </w:r>
    </w:p>
    <w:p>
      <w:pPr>
        <w:pStyle w:val="Normal"/>
        <w:spacing w:lineRule="atLeast" w:line="240"/>
        <w:rPr>
          <w:color w:val="000000"/>
          <w:sz w:val="20"/>
          <w:lang w:eastAsia="en-US"/>
        </w:rPr>
      </w:pPr>
      <w:r>
        <w:rPr>
          <w:color w:val="000000"/>
          <w:sz w:val="20"/>
          <w:lang w:eastAsia="en-US"/>
        </w:rPr>
      </w:r>
    </w:p>
    <w:p>
      <w:pPr>
        <w:pStyle w:val="Normal"/>
        <w:spacing w:lineRule="atLeast" w:line="240"/>
        <w:ind w:start="720" w:end="0"/>
        <w:rPr>
          <w:color w:val="000000"/>
          <w:sz w:val="20"/>
          <w:lang w:eastAsia="en-US"/>
        </w:rPr>
      </w:pPr>
      <w:r>
        <w:rPr>
          <w:color w:val="000000"/>
          <w:sz w:val="20"/>
          <w:lang w:eastAsia="en-US"/>
        </w:rPr>
        <w:t xml:space="preserve">10/25/00 – FERC ruled that Transco is required to permit Piedmont to use secondary rights to deliver volumes by backhaul without having to do a capacity release to accomplish that. </w:t>
      </w:r>
    </w:p>
    <w:p>
      <w:pPr>
        <w:pStyle w:val="Normal"/>
        <w:spacing w:lineRule="atLeast" w:line="240"/>
        <w:rPr>
          <w:color w:val="000000"/>
          <w:sz w:val="20"/>
          <w:lang w:eastAsia="en-US"/>
        </w:rPr>
      </w:pPr>
      <w:r>
        <w:rPr>
          <w:color w:val="000000"/>
          <w:sz w:val="20"/>
          <w:lang w:eastAsia="en-US"/>
        </w:rPr>
      </w:r>
    </w:p>
    <w:p>
      <w:pPr>
        <w:pStyle w:val="NormalIndent"/>
        <w:rPr>
          <w:color w:val="000000"/>
          <w:sz w:val="20"/>
          <w:lang w:eastAsia="en-US"/>
        </w:rPr>
      </w:pPr>
      <w:r>
        <w:rPr>
          <w:color w:val="000000"/>
          <w:sz w:val="20"/>
          <w:lang w:eastAsia="en-US"/>
        </w:rPr>
        <w:t>10/20/00 – FERC has asked for a lot of additional information regarding the Cross Bay/Transco project—why it is a joint venture, etc. and how this might impact current Transco customers.</w:t>
      </w:r>
    </w:p>
    <w:p>
      <w:pPr>
        <w:pStyle w:val="NormalIndent"/>
        <w:rPr>
          <w:color w:val="000000"/>
          <w:sz w:val="20"/>
          <w:lang w:eastAsia="en-US"/>
        </w:rPr>
      </w:pPr>
      <w:r>
        <w:rPr>
          <w:color w:val="000000"/>
          <w:sz w:val="20"/>
          <w:lang w:eastAsia="en-US"/>
        </w:rPr>
      </w:r>
    </w:p>
    <w:p>
      <w:pPr>
        <w:pStyle w:val="Normal"/>
        <w:rPr>
          <w:b/>
          <w:sz w:val="20"/>
        </w:rPr>
      </w:pPr>
      <w:r>
        <w:rPr>
          <w:b/>
          <w:sz w:val="20"/>
        </w:rPr>
        <w:t>Viking Gas Transmission Company</w:t>
      </w:r>
    </w:p>
    <w:p>
      <w:pPr>
        <w:pStyle w:val="NormalIndent"/>
        <w:rPr>
          <w:sz w:val="20"/>
        </w:rPr>
      </w:pPr>
      <w:r>
        <w:rPr>
          <w:sz w:val="20"/>
        </w:rPr>
        <w:t xml:space="preserve">10/31/00 - Viking filed notice of a negotiated rate transaction with Wisconsin Pub. Service effective 11/1/00 through 10/31/04.  It is for FT-A service for 30,492/day from TCPL-Emerson to ANR-Marshfield at a rate of $.1546 as averaged on an annual basis, including demand, commodity and surcharges.  </w:t>
      </w:r>
    </w:p>
    <w:p>
      <w:pPr>
        <w:pStyle w:val="NormalIndent"/>
        <w:rPr>
          <w:b/>
          <w:sz w:val="20"/>
        </w:rPr>
      </w:pPr>
      <w:r>
        <w:rPr>
          <w:b/>
          <w:sz w:val="20"/>
        </w:rPr>
      </w:r>
    </w:p>
    <w:p>
      <w:pPr>
        <w:pStyle w:val="NormalIndent"/>
        <w:rPr>
          <w:b/>
          <w:sz w:val="20"/>
        </w:rPr>
      </w:pPr>
      <w:r>
        <w:rPr>
          <w:b/>
          <w:sz w:val="20"/>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 xml:space="preserve">.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eastAsia="Helv;Arial" w:cs="Helv;Arial"/>
          <w:color w:val="000000"/>
          <w:lang w:eastAsia="en-US"/>
        </w:rPr>
      </w:pPr>
      <w:r>
        <w:rPr>
          <w:rFonts w:eastAsia="Helv;Arial" w:cs="Helv;Arial" w:ascii="Helv;Arial" w:hAnsi="Helv;Arial"/>
          <w:color w:val="000000"/>
          <w:lang w:eastAsia="en-US"/>
        </w:rPr>
        <w:t xml:space="preserve">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eastAsia="Helv;Arial" w:cs="Helv;Arial"/>
          <w:color w:val="000000"/>
          <w:lang w:eastAsia="en-US"/>
        </w:rPr>
      </w:pPr>
      <w:r>
        <w:rPr>
          <w:rFonts w:eastAsia="Helv;Arial" w:cs="Helv;Arial" w:ascii="Helv;Arial" w:hAnsi="Helv;Arial"/>
          <w:color w:val="000000"/>
          <w:lang w:eastAsia="en-US"/>
        </w:rPr>
        <w:t xml:space="preserve">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 </w:t>
      </w:r>
      <w:r>
        <w:rPr>
          <w:rFonts w:eastAsia="Helv;Arial" w:cs="Helv;Arial" w:ascii="Helv;Arial" w:hAnsi="Helv;Arial"/>
          <w:color w:val="000000"/>
          <w:lang w:eastAsia="en-US"/>
        </w:rPr>
        <w:t xml:space="preserve">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eastAsia="Helv;Arial" w:cs="Helv;Arial"/>
          <w:color w:val="000000"/>
          <w:lang w:eastAsia="en-US"/>
        </w:rPr>
      </w:pPr>
      <w:r>
        <w:rPr>
          <w:rFonts w:eastAsia="Helv;Arial" w:cs="Helv;Arial" w:ascii="Helv;Arial" w:hAnsi="Helv;Arial"/>
          <w:color w:val="000000"/>
          <w:lang w:eastAsia="en-US"/>
        </w:rPr>
        <w:t xml:space="preserve">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 </w:t>
      </w:r>
      <w:r>
        <w:rPr>
          <w:rFonts w:eastAsia="Helv;Arial" w:cs="Helv;Arial" w:ascii="Helv;Arial" w:hAnsi="Helv;Arial"/>
          <w:color w:val="000000"/>
          <w:lang w:eastAsia="en-US"/>
        </w:rPr>
        <w:t xml:space="preserve">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eastAsia="Helv;Arial" w:cs="Helv;Arial"/>
          <w:color w:val="000000"/>
          <w:lang w:eastAsia="en-US"/>
        </w:rPr>
      </w:pPr>
      <w:r>
        <w:rPr>
          <w:rFonts w:eastAsia="Helv;Arial" w:cs="Helv;Arial" w:ascii="Helv;Arial" w:hAnsi="Helv;Arial"/>
          <w:color w:val="000000"/>
          <w:lang w:eastAsia="en-US"/>
        </w:rPr>
        <w:t xml:space="preserve"> </w:t>
      </w:r>
    </w:p>
    <w:p>
      <w:pPr>
        <w:pStyle w:val="Normal"/>
        <w:spacing w:lineRule="atLeast" w:line="240"/>
        <w:rPr>
          <w:rFonts w:ascii="Helv;Arial" w:hAnsi="Helv;Arial" w:eastAsia="Helv;Arial" w:cs="Helv;Arial"/>
          <w:color w:val="000000"/>
          <w:lang w:eastAsia="en-US"/>
        </w:rPr>
      </w:pPr>
      <w:r>
        <w:rPr>
          <w:rFonts w:eastAsia="Helv;Arial" w:cs="Helv;Arial" w:ascii="Helv;Arial" w:hAnsi="Helv;Arial"/>
          <w:color w:val="000000"/>
          <w:lang w:eastAsia="en-US"/>
        </w:rPr>
        <w:t xml:space="preserve">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eastAsia="Helv;Arial" w:cs="Helv;Arial"/>
          <w:color w:val="000000"/>
          <w:lang w:eastAsia="en-US"/>
        </w:rPr>
      </w:pPr>
      <w:r>
        <w:rPr>
          <w:rFonts w:eastAsia="Helv;Arial" w:cs="Helv;Arial" w:ascii="Helv;Arial" w:hAnsi="Helv;Arial"/>
          <w:color w:val="000000"/>
          <w:lang w:eastAsia="en-US"/>
        </w:rPr>
        <w:t xml:space="preserve">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Indent"/>
        <w:rPr>
          <w:rFonts w:ascii="Helv;Arial" w:hAnsi="Helv;Arial" w:cs="Helv;Arial"/>
          <w:color w:val="000000"/>
          <w:lang w:eastAsia="en-US"/>
        </w:rPr>
      </w:pPr>
      <w:r>
        <w:rPr>
          <w:rFonts w:cs="Helv;Arial" w:ascii="Helv;Arial" w:hAnsi="Helv;Arial"/>
          <w:color w:val="000000"/>
          <w:lang w:eastAsia="en-US"/>
        </w:rPr>
      </w:r>
    </w:p>
    <w:sectPr>
      <w:headerReference w:type="default" r:id="rId3"/>
      <w:headerReference w:type="first" r:id="rId4"/>
      <w:footerReference w:type="default" r:id="rId5"/>
      <w:footerReference w:type="first" r:id="rId6"/>
      <w:type w:val="nextPage"/>
      <w:pgSz w:w="12240" w:h="15840"/>
      <w:pgMar w:left="720" w:right="720" w:gutter="0" w:header="720" w:top="1170"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Courier">
    <w:altName w:val="Courier New"/>
    <w:charset w:val="00" w:characterSet="windows-1252"/>
    <w:family w:val="modern"/>
    <w:pitch w:val="default"/>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-359410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3pt;mso-position-vertical-relative:text;margin-left:201.3pt;mso-position-horizontal-relative:page">
              <v:fill opacity="0f"/>
              <v:textbox inset="0in,0in,0in,0in">
                <w:txbxContent>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s>
      <w:ind w:hanging="720" w:start="720" w:end="0"/>
      <w:outlineLvl w:val="3"/>
    </w:pPr>
    <w:rPr>
      <w:rFonts w:ascii="Times New Roman" w:hAnsi="Times New Roman" w:cs="Times New Roman"/>
    </w:rPr>
  </w:style>
  <w:style w:type="paragraph" w:styleId="Heading5">
    <w:name w:val="heading 5"/>
    <w:basedOn w:val="Normal"/>
    <w:next w:val="Normal"/>
    <w:qFormat/>
    <w:pPr>
      <w:keepNext w:val="true"/>
      <w:numPr>
        <w:ilvl w:val="4"/>
        <w:numId w:val="1"/>
      </w:numPr>
      <w:tabs>
        <w:tab w:val="clear" w:pos="540"/>
      </w:tabs>
      <w:ind w:hanging="1440" w:start="1440" w:end="0"/>
      <w:outlineLvl w:val="4"/>
    </w:pPr>
    <w:rPr>
      <w:rFonts w:ascii="Times New Roman" w:hAnsi="Times New Roman" w:cs="Times New Roman"/>
    </w:rPr>
  </w:style>
  <w:style w:type="paragraph" w:styleId="Heading6">
    <w:name w:val="heading 6"/>
    <w:basedOn w:val="Normal"/>
    <w:next w:val="Normal"/>
    <w:qFormat/>
    <w:pPr>
      <w:keepNext w:val="true"/>
      <w:numPr>
        <w:ilvl w:val="5"/>
        <w:numId w:val="1"/>
      </w:numPr>
      <w:tabs>
        <w:tab w:val="clear" w:pos="540"/>
      </w:tabs>
      <w:ind w:hanging="1530" w:start="1440" w:end="0"/>
      <w:outlineLvl w:val="5"/>
    </w:pPr>
    <w:rPr>
      <w:rFonts w:ascii="Times New Roman" w:hAnsi="Times New Roman" w:cs="Times New Roman"/>
    </w:rPr>
  </w:style>
  <w:style w:type="paragraph" w:styleId="Heading7">
    <w:name w:val="heading 7"/>
    <w:basedOn w:val="Normal"/>
    <w:next w:val="Normal"/>
    <w:qFormat/>
    <w:pPr>
      <w:keepNext w:val="true"/>
      <w:numPr>
        <w:ilvl w:val="6"/>
        <w:numId w:val="1"/>
      </w:numPr>
      <w:spacing w:lineRule="atLeast" w:line="240"/>
      <w:outlineLvl w:val="6"/>
    </w:pPr>
    <w:rPr>
      <w:b/>
      <w:color w:val="000000"/>
      <w:sz w:val="20"/>
      <w:lang w:eastAsia="en-U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hanging="720" w:start="720" w:end="0"/>
    </w:pPr>
    <w:rPr>
      <w:rFonts w:ascii="Times New Roman" w:hAnsi="Times New Roman" w:cs="Times New Roman"/>
    </w:rPr>
  </w:style>
  <w:style w:type="paragraph" w:styleId="BodyTextIndent2">
    <w:name w:val="Body Text Indent 2"/>
    <w:basedOn w:val="Normal"/>
    <w:qFormat/>
    <w:pPr>
      <w:tabs>
        <w:tab w:val="clear" w:pos="540"/>
      </w:tabs>
      <w:ind w:hanging="0" w:start="720" w:end="0"/>
    </w:pPr>
    <w:rPr>
      <w:rFonts w:ascii="Times New Roman" w:hAnsi="Times New Roman" w:cs="Times New Roman"/>
    </w:rPr>
  </w:style>
  <w:style w:type="paragraph" w:styleId="BodyTextIndent3">
    <w:name w:val="Body Text Indent 3"/>
    <w:basedOn w:val="Normal"/>
    <w:qFormat/>
    <w:pPr>
      <w:ind w:hanging="72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2000-11-17T13:24:00Z</dcterms:created>
  <dc:creator>ECT</dc:creator>
  <dc:description/>
  <dc:language>en-CA</dc:language>
  <cp:lastModifiedBy>ECT</cp:lastModifiedBy>
  <cp:lastPrinted>2000-11-17T09:55:00Z</cp:lastPrinted>
  <dcterms:modified xsi:type="dcterms:W3CDTF">2000-11-17T15:00:00Z</dcterms:modified>
  <cp:revision>4</cp:revision>
  <dc:subject>Regulatory Filing Summary</dc:subject>
  <dc:title>Eron Capital &amp; Trade Resources Memo</dc:title>
</cp:coreProperties>
</file>