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lang w:val="en-CA" w:eastAsia="en-CA"/>
        </w:rPr>
      </w:pPr>
      <w:r>
        <w:rPr>
          <w:lang w:val="en-CA" w:eastAsia="en-CA"/>
        </w:rPr>
        <w:drawing>
          <wp:anchor behindDoc="0" distT="0" distB="0" distL="114935" distR="114935" simplePos="0" locked="0" layoutInCell="1" allowOverlap="1" relativeHeight="2">
            <wp:simplePos x="0" y="0"/>
            <wp:positionH relativeFrom="column">
              <wp:posOffset>4509135</wp:posOffset>
            </wp:positionH>
            <wp:positionV relativeFrom="paragraph">
              <wp:posOffset>-568960</wp:posOffset>
            </wp:positionV>
            <wp:extent cx="1143000" cy="10287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0" t="-40" r="-40" b="-40"/>
                    <a:stretch>
                      <a:fillRect/>
                    </a:stretch>
                  </pic:blipFill>
                  <pic:spPr bwMode="auto">
                    <a:xfrm>
                      <a:off x="0" y="0"/>
                      <a:ext cx="1143000" cy="1028700"/>
                    </a:xfrm>
                    <a:prstGeom prst="rect">
                      <a:avLst/>
                    </a:prstGeom>
                    <a:noFill/>
                  </pic:spPr>
                </pic:pic>
              </a:graphicData>
            </a:graphic>
          </wp:anchor>
        </w:drawing>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t>May 2, 2001</w:t>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t>City of Palo Alto</w:t>
      </w:r>
    </w:p>
    <w:p>
      <w:pPr>
        <w:pStyle w:val="Heading"/>
        <w:jc w:val="start"/>
        <w:rPr>
          <w:b w:val="false"/>
        </w:rPr>
      </w:pPr>
      <w:r>
        <w:rPr>
          <w:b w:val="false"/>
        </w:rPr>
        <w:t>Purchasing and Contract Administration</w:t>
      </w:r>
    </w:p>
    <w:p>
      <w:pPr>
        <w:pStyle w:val="Heading"/>
        <w:jc w:val="start"/>
        <w:rPr>
          <w:b w:val="false"/>
        </w:rPr>
      </w:pPr>
      <w:r>
        <w:rPr>
          <w:b w:val="false"/>
        </w:rPr>
        <w:t>Mezzanine, Civic Center</w:t>
      </w:r>
    </w:p>
    <w:p>
      <w:pPr>
        <w:pStyle w:val="Heading"/>
        <w:jc w:val="start"/>
        <w:rPr>
          <w:b w:val="false"/>
        </w:rPr>
      </w:pPr>
      <w:r>
        <w:rPr>
          <w:b w:val="false"/>
        </w:rPr>
        <w:t>250 Hamilton Avenue</w:t>
      </w:r>
    </w:p>
    <w:p>
      <w:pPr>
        <w:pStyle w:val="Heading"/>
        <w:jc w:val="start"/>
        <w:rPr>
          <w:b w:val="false"/>
        </w:rPr>
      </w:pPr>
      <w:r>
        <w:rPr>
          <w:b w:val="false"/>
        </w:rPr>
        <w:t>Palo Alto, CA 94301</w:t>
      </w:r>
    </w:p>
    <w:p>
      <w:pPr>
        <w:pStyle w:val="Heading"/>
        <w:jc w:val="start"/>
        <w:rPr>
          <w:b w:val="false"/>
        </w:rPr>
      </w:pPr>
      <w:r>
        <w:rPr>
          <w:b w:val="false"/>
        </w:rPr>
      </w:r>
    </w:p>
    <w:p>
      <w:pPr>
        <w:pStyle w:val="Heading"/>
        <w:jc w:val="start"/>
        <w:rPr>
          <w:b w:val="false"/>
        </w:rPr>
      </w:pPr>
      <w:r>
        <w:rPr>
          <w:b w:val="false"/>
        </w:rPr>
        <w:t>RE:  RFP number 133171</w:t>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t>Dear Manager of Purchasing and Contract Administration,</w:t>
      </w:r>
    </w:p>
    <w:p>
      <w:pPr>
        <w:pStyle w:val="Heading"/>
        <w:jc w:val="start"/>
        <w:rPr>
          <w:b w:val="false"/>
        </w:rPr>
      </w:pPr>
      <w:r>
        <w:rPr>
          <w:b w:val="false"/>
        </w:rPr>
      </w:r>
    </w:p>
    <w:p>
      <w:pPr>
        <w:pStyle w:val="Normal"/>
        <w:jc w:val="both"/>
        <w:rPr/>
      </w:pPr>
      <w:r>
        <w:rPr/>
        <w:t>Further to our meeting, please find ENA’s revision to our original response to RFP number 133171.  Each change is referenced to the section number as previously noted in the original proposal.</w:t>
      </w:r>
    </w:p>
    <w:p>
      <w:pPr>
        <w:pStyle w:val="Normal"/>
        <w:jc w:val="both"/>
        <w:rPr/>
      </w:pPr>
      <w:r>
        <w:rPr/>
      </w:r>
    </w:p>
    <w:p>
      <w:pPr>
        <w:pStyle w:val="Normal"/>
        <w:jc w:val="both"/>
        <w:rPr/>
      </w:pPr>
      <w:r>
        <w:rPr>
          <w:b/>
          <w:bCs/>
        </w:rPr>
        <w:t>SECTION V</w:t>
      </w:r>
      <w:r>
        <w:rPr/>
        <w:t xml:space="preserve">   </w:t>
      </w:r>
    </w:p>
    <w:p>
      <w:pPr>
        <w:pStyle w:val="Normal"/>
        <w:jc w:val="both"/>
        <w:rPr/>
      </w:pPr>
      <w:r>
        <w:rPr>
          <w:b/>
          <w:bCs/>
        </w:rPr>
        <w:t>4.1</w:t>
      </w:r>
      <w:r>
        <w:rPr/>
        <w:t xml:space="preserve"> shall be eliminated and replaced with the following:  Seller shall supply &amp; schedule Buyer’s full requirements gas needs, including but not limited to managing Buyer’s existing pipeline capacity, nominating gas (including that provided by third parties), responding to OFOs and EFOs, imbalance trading, and providing incremental gas supply.  </w:t>
      </w:r>
    </w:p>
    <w:p>
      <w:pPr>
        <w:pStyle w:val="Normal"/>
        <w:jc w:val="both"/>
        <w:rPr/>
      </w:pPr>
      <w:r>
        <w:rPr/>
      </w:r>
    </w:p>
    <w:p>
      <w:pPr>
        <w:pStyle w:val="Normal"/>
        <w:jc w:val="both"/>
        <w:rPr/>
      </w:pPr>
      <w:r>
        <w:rPr>
          <w:u w:val="single"/>
        </w:rPr>
        <w:t>Demand Charge</w:t>
      </w:r>
      <w:r>
        <w:rPr/>
        <w:t>:  Buyer shall pay a demand charge based on the actual monthly volumes nominated, including third party gas, multiplied by the per unit rate as determined using the applicable term.</w:t>
      </w:r>
    </w:p>
    <w:p>
      <w:pPr>
        <w:pStyle w:val="Normal"/>
        <w:jc w:val="both"/>
        <w:rPr/>
      </w:pPr>
      <w:r>
        <w:rPr/>
      </w:r>
    </w:p>
    <w:p>
      <w:pPr>
        <w:pStyle w:val="Normal"/>
        <w:jc w:val="both"/>
        <w:rPr/>
      </w:pPr>
      <w:r>
        <w:rPr/>
        <w:t>A)  July 1, 2001 through June 30, 2002 - $.12/MMBtu</w:t>
      </w:r>
    </w:p>
    <w:p>
      <w:pPr>
        <w:pStyle w:val="Normal"/>
        <w:jc w:val="both"/>
        <w:rPr/>
      </w:pPr>
      <w:r>
        <w:rPr/>
        <w:t>B)  July 1, 2001 through June 30, 2003 - $.10/MMBtu</w:t>
      </w:r>
    </w:p>
    <w:p>
      <w:pPr>
        <w:pStyle w:val="Normal"/>
        <w:jc w:val="both"/>
        <w:rPr/>
      </w:pPr>
      <w:r>
        <w:rPr/>
        <w:t>C)  July 1, 2001 through June 30, 2004 - $.08/MMBtu</w:t>
      </w:r>
    </w:p>
    <w:p>
      <w:pPr>
        <w:pStyle w:val="Normal"/>
        <w:jc w:val="both"/>
        <w:rPr/>
      </w:pPr>
      <w:r>
        <w:rPr/>
      </w:r>
    </w:p>
    <w:p>
      <w:pPr>
        <w:pStyle w:val="Normal"/>
        <w:jc w:val="both"/>
        <w:rPr/>
      </w:pPr>
      <w:r>
        <w:rPr>
          <w:u w:val="single"/>
        </w:rPr>
        <w:t>Term Extension</w:t>
      </w:r>
      <w:r>
        <w:rPr/>
        <w:t xml:space="preserve">:  In the event Buyer chooses A or B above, the term may be extended on a mutually agreeable basis and will be re-priced based on the market at the time.  Either party has the right to terminate this transaction with for any reason with 60days written notice. </w:t>
      </w:r>
    </w:p>
    <w:p>
      <w:pPr>
        <w:pStyle w:val="Normal"/>
        <w:jc w:val="both"/>
        <w:rPr/>
      </w:pPr>
      <w:r>
        <w:rPr/>
      </w:r>
    </w:p>
    <w:p>
      <w:pPr>
        <w:pStyle w:val="Normal"/>
        <w:jc w:val="both"/>
        <w:rPr/>
      </w:pPr>
      <w:r>
        <w:rPr>
          <w:u w:val="single"/>
        </w:rPr>
        <w:t>Agency Agreement:</w:t>
      </w:r>
      <w:r>
        <w:rPr/>
        <w:t xml:space="preserve">  Seller shall act as Buyer’s authorized agent as defined by the tariffs of PG&amp;E.  Buyer shall be responsible for all amounts of gas transported on the PG&amp;E system related to their load requirements as documented by their transportation invoice.</w:t>
      </w:r>
    </w:p>
    <w:p>
      <w:pPr>
        <w:pStyle w:val="Normal"/>
        <w:jc w:val="both"/>
        <w:rPr/>
      </w:pPr>
      <w:r>
        <w:rPr/>
        <w:t xml:space="preserve"> </w:t>
      </w:r>
    </w:p>
    <w:p>
      <w:pPr>
        <w:pStyle w:val="Normal"/>
        <w:jc w:val="both"/>
        <w:rPr/>
      </w:pPr>
      <w:r>
        <w:rPr/>
        <w:t>Seller may request, from time to time, that Buyer assist with scheduling by communicating and discussing potential load quantity estimates.</w:t>
      </w:r>
    </w:p>
    <w:p>
      <w:pPr>
        <w:pStyle w:val="Normal"/>
        <w:jc w:val="both"/>
        <w:rPr/>
      </w:pPr>
      <w:r>
        <w:rPr/>
      </w:r>
    </w:p>
    <w:p>
      <w:pPr>
        <w:pStyle w:val="Normal"/>
        <w:jc w:val="both"/>
        <w:rPr/>
      </w:pPr>
      <w:r>
        <w:rPr>
          <w:b/>
          <w:bCs/>
        </w:rPr>
        <w:t>4.2</w:t>
      </w:r>
      <w:r>
        <w:rPr/>
        <w:t xml:space="preserve"> shall be eliminated and replaced with the following:  The contract price for volumes to be delivered and sold at Malin by Seller, shall be the price published in </w:t>
      </w:r>
      <w:r>
        <w:rPr>
          <w:u w:val="single"/>
        </w:rPr>
        <w:t>Natural Gas Intelligence Gas Price Index</w:t>
      </w:r>
      <w:r>
        <w:rPr/>
        <w:t>, or successor publication, in the first issue of the delivery month, in the table titled “California” on the line titled “Malin” plus zero.  This would apply to the term as selected in 4.1.</w:t>
      </w:r>
    </w:p>
    <w:p>
      <w:pPr>
        <w:pStyle w:val="Normal"/>
        <w:jc w:val="both"/>
        <w:rPr/>
      </w:pPr>
      <w:r>
        <w:rPr/>
      </w:r>
    </w:p>
    <w:p>
      <w:pPr>
        <w:pStyle w:val="Normal"/>
        <w:jc w:val="both"/>
        <w:rPr/>
      </w:pPr>
      <w:r>
        <w:rPr>
          <w:b/>
          <w:bCs/>
        </w:rPr>
        <w:t>4.3</w:t>
      </w:r>
      <w:r>
        <w:rPr/>
        <w:t xml:space="preserve"> shall be eliminated and replaced with the following:  The Contract Price for volumes to be delivered and sold at the PG&amp;E Citygate by Seller, shall be the price published in  </w:t>
      </w:r>
      <w:r>
        <w:rPr>
          <w:u w:val="single"/>
        </w:rPr>
        <w:t xml:space="preserve">Natural Gas Intelligence Gas Price </w:t>
      </w:r>
      <w:r>
        <w:rPr/>
        <w:t>Index, or successor publication, in the first issue of the delivery month, in the table titled “California”, on the line titled “PG&amp;E City Gate” plus zero.  This would apply to the term as selected in 4.1</w:t>
      </w:r>
    </w:p>
    <w:p>
      <w:pPr>
        <w:pStyle w:val="Normal"/>
        <w:jc w:val="both"/>
        <w:rPr/>
      </w:pPr>
      <w:r>
        <w:rPr/>
      </w:r>
    </w:p>
    <w:p>
      <w:pPr>
        <w:pStyle w:val="Normal"/>
        <w:jc w:val="both"/>
        <w:rPr/>
      </w:pPr>
      <w:r>
        <w:rPr>
          <w:b/>
          <w:bCs/>
        </w:rPr>
        <w:t>4.4</w:t>
      </w:r>
      <w:r>
        <w:rPr/>
        <w:t xml:space="preserve"> shall be eliminated and replaced with the following:  Seller has the right to utilize all of Buyer’s transportation capacity that goes unutilized by Buyer on a daily basis.</w:t>
      </w:r>
    </w:p>
    <w:p>
      <w:pPr>
        <w:pStyle w:val="Normal"/>
        <w:jc w:val="both"/>
        <w:rPr/>
      </w:pPr>
      <w:r>
        <w:rPr/>
      </w:r>
    </w:p>
    <w:p>
      <w:pPr>
        <w:pStyle w:val="Normal"/>
        <w:jc w:val="both"/>
        <w:rPr>
          <w:b/>
          <w:bCs/>
        </w:rPr>
      </w:pPr>
      <w:r>
        <w:rPr>
          <w:b/>
          <w:bCs/>
        </w:rPr>
        <w:t>Section VI</w:t>
      </w:r>
    </w:p>
    <w:p>
      <w:pPr>
        <w:pStyle w:val="Normal"/>
        <w:jc w:val="both"/>
        <w:rPr/>
      </w:pPr>
      <w:r>
        <w:rPr/>
        <w:t>third sentence – shall be modified as follows:  Buyer and Seller shall be able to convert to fixed price subject to market prices at the time of the transaction.  Once a volume is converted to fixed price or fixed basis, load factor shall be 100% firm.</w:t>
      </w:r>
    </w:p>
    <w:p>
      <w:pPr>
        <w:pStyle w:val="Normal"/>
        <w:jc w:val="both"/>
        <w:rPr/>
      </w:pPr>
      <w:r>
        <w:rPr/>
      </w:r>
    </w:p>
    <w:p>
      <w:pPr>
        <w:pStyle w:val="Normal"/>
        <w:jc w:val="both"/>
        <w:rPr/>
      </w:pPr>
      <w:r>
        <w:rPr>
          <w:b/>
          <w:bCs/>
        </w:rPr>
        <w:t>5.3</w:t>
      </w:r>
      <w:r>
        <w:rPr/>
        <w:t xml:space="preserve"> shall be eliminated and replaced with the following:  Seller shall provide all scheduling and balancing services to Buyer, including those purchased from a third party.  Buyer shall notify Seller of third party volumes to be scheduled at least five business days prior to the end of the month in which these volumes must be scheduled.  </w:t>
      </w:r>
    </w:p>
    <w:p>
      <w:pPr>
        <w:pStyle w:val="Normal"/>
        <w:jc w:val="both"/>
        <w:rPr/>
      </w:pPr>
      <w:r>
        <w:rPr/>
      </w:r>
    </w:p>
    <w:p>
      <w:pPr>
        <w:pStyle w:val="Normal"/>
        <w:jc w:val="both"/>
        <w:rPr/>
      </w:pPr>
      <w:r>
        <w:rPr/>
        <w:t>Seller will assist Buyer with selling quantities supplied by a third party that Buyer wishes to sell into the market.  Seller will also provide an offer for all volumes Buyer would like to sell into the market on a daily or longer basis.</w:t>
      </w:r>
    </w:p>
    <w:p>
      <w:pPr>
        <w:pStyle w:val="Normal"/>
        <w:jc w:val="both"/>
        <w:rPr/>
      </w:pPr>
      <w:r>
        <w:rPr/>
      </w:r>
    </w:p>
    <w:p>
      <w:pPr>
        <w:pStyle w:val="Normal"/>
        <w:jc w:val="both"/>
        <w:rPr/>
      </w:pPr>
      <w:r>
        <w:rPr>
          <w:b/>
          <w:bCs/>
        </w:rPr>
        <w:t>6</w:t>
      </w:r>
      <w:r>
        <w:rPr/>
        <w:t xml:space="preserve"> shall be eliminated and replaced with the following:  Seller has the ability to serve customers outside of the Buyer’s boundaries by serving them out of Seller’s PG&amp;E pool.  Buyer or this additional load must have firm takeaway capacity on PG&amp;E’s system.  Seller will work with Buyer on a case-by-case basis to provide pricing.  Pricing will be based on market prices at the time regardless of volume size.</w:t>
      </w:r>
    </w:p>
    <w:p>
      <w:pPr>
        <w:pStyle w:val="Normal"/>
        <w:jc w:val="both"/>
        <w:rPr/>
      </w:pPr>
      <w:r>
        <w:rPr/>
      </w:r>
    </w:p>
    <w:p>
      <w:pPr>
        <w:pStyle w:val="Normal"/>
        <w:jc w:val="both"/>
        <w:rPr/>
      </w:pPr>
      <w:r>
        <w:rPr/>
        <w:t>Thank you for allowing us the opportunity to modify our original response and we hope that our proposal meets your needs.  Should there be any components of this proposal that does not fit the specific needs of the City, please advise and we can discuss or review as required.</w:t>
      </w:r>
    </w:p>
    <w:p>
      <w:pPr>
        <w:pStyle w:val="Normal"/>
        <w:jc w:val="both"/>
        <w:rPr/>
      </w:pPr>
      <w:r>
        <w:rPr/>
      </w:r>
    </w:p>
    <w:p>
      <w:pPr>
        <w:pStyle w:val="Heading"/>
        <w:jc w:val="start"/>
        <w:rPr>
          <w:b w:val="false"/>
        </w:rPr>
      </w:pPr>
      <w:r>
        <w:rPr>
          <w:b w:val="false"/>
        </w:rPr>
        <w:t>Thank you again for your consideration.</w:t>
      </w:r>
    </w:p>
    <w:p>
      <w:pPr>
        <w:pStyle w:val="Heading"/>
        <w:jc w:val="start"/>
        <w:rPr>
          <w:b w:val="false"/>
        </w:rPr>
      </w:pPr>
      <w:r>
        <w:rPr>
          <w:b w:val="false"/>
        </w:rPr>
      </w:r>
    </w:p>
    <w:p>
      <w:pPr>
        <w:pStyle w:val="Heading"/>
        <w:jc w:val="start"/>
        <w:rPr>
          <w:b w:val="false"/>
        </w:rPr>
      </w:pPr>
      <w:r>
        <w:rPr>
          <w:b w:val="false"/>
        </w:rPr>
        <w:t>Sincerely,</w:t>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t>Kim Ward</w:t>
      </w:r>
    </w:p>
    <w:p>
      <w:pPr>
        <w:pStyle w:val="Heading"/>
        <w:jc w:val="start"/>
        <w:rPr>
          <w:b w:val="false"/>
        </w:rPr>
      </w:pPr>
      <w:r>
        <w:rPr>
          <w:b w:val="false"/>
        </w:rPr>
        <w:t>Manager, West Gas Origination</w:t>
      </w:r>
    </w:p>
    <w:p>
      <w:pPr>
        <w:pStyle w:val="Heading"/>
        <w:jc w:val="start"/>
        <w:rPr>
          <w:b w:val="false"/>
        </w:rPr>
      </w:pPr>
      <w:r>
        <w:rPr>
          <w:b w:val="false"/>
        </w:rPr>
        <w:t>ENA</w:t>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ind w:hanging="720" w:start="720" w:end="0"/>
        <w:jc w:val="start"/>
        <w:rPr>
          <w:b w:val="false"/>
        </w:rPr>
      </w:pPr>
      <w:r>
        <w:rPr>
          <w:b w:val="false"/>
        </w:rPr>
        <w:t>Cc:</w:t>
        <w:tab/>
        <w:t>Barry Tycholiz, ENA</w:t>
      </w:r>
    </w:p>
    <w:p>
      <w:pPr>
        <w:pStyle w:val="Heading"/>
        <w:ind w:firstLine="720" w:end="0"/>
        <w:jc w:val="start"/>
        <w:rPr>
          <w:b w:val="false"/>
        </w:rPr>
      </w:pPr>
      <w:r>
        <w:rPr>
          <w:b w:val="false"/>
        </w:rPr>
      </w:r>
      <w:r>
        <w:br w:type="page"/>
      </w:r>
    </w:p>
    <w:p>
      <w:pPr>
        <w:pStyle w:val="Heading"/>
        <w:ind w:firstLine="720" w:end="0"/>
        <w:rPr>
          <w:b w:val="false"/>
        </w:rPr>
      </w:pPr>
      <w:r>
        <w:rPr>
          <w:b w:val="false"/>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144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1440"/>
        <w:tab w:val="left" w:pos="0" w:leader="none"/>
      </w:tabs>
      <w:outlineLvl w:val="0"/>
    </w:pPr>
    <w:rPr>
      <w:b/>
    </w:rPr>
  </w:style>
  <w:style w:type="paragraph" w:styleId="Heading2">
    <w:name w:val="heading 2"/>
    <w:basedOn w:val="Normal"/>
    <w:next w:val="Normal"/>
    <w:qFormat/>
    <w:pPr>
      <w:keepNext w:val="true"/>
      <w:widowControl w:val="false"/>
      <w:numPr>
        <w:ilvl w:val="1"/>
        <w:numId w:val="1"/>
      </w:numPr>
      <w:outlineLvl w:val="1"/>
    </w:pPr>
    <w:rPr>
      <w:u w:val="single"/>
    </w:rPr>
  </w:style>
  <w:style w:type="paragraph" w:styleId="Heading3">
    <w:name w:val="heading 3"/>
    <w:basedOn w:val="Normal"/>
    <w:next w:val="Normal"/>
    <w:qFormat/>
    <w:pPr>
      <w:keepNext w:val="true"/>
      <w:numPr>
        <w:ilvl w:val="0"/>
        <w:numId w:val="2"/>
      </w:numPr>
      <w:outlineLvl w:val="2"/>
    </w:pPr>
    <w:rPr>
      <w:b/>
    </w:rPr>
  </w:style>
  <w:style w:type="paragraph" w:styleId="Heading4">
    <w:name w:val="heading 4"/>
    <w:basedOn w:val="Normal"/>
    <w:next w:val="Normal"/>
    <w:qFormat/>
    <w:pPr>
      <w:keepNext w:val="true"/>
      <w:numPr>
        <w:ilvl w:val="3"/>
        <w:numId w:val="1"/>
      </w:numPr>
      <w:tabs>
        <w:tab w:val="left" w:pos="1440" w:leader="none"/>
      </w:tabs>
      <w:ind w:hanging="0" w:start="1440" w:end="0"/>
      <w:outlineLvl w:val="3"/>
    </w:pPr>
    <w:rPr>
      <w:b/>
      <w:u w:val="single"/>
    </w:rPr>
  </w:style>
  <w:style w:type="character" w:styleId="WW8Num2z0">
    <w:name w:val="WW8Num2z0"/>
    <w:qFormat/>
    <w:rPr/>
  </w:style>
  <w:style w:type="character" w:styleId="WW8Num3z0">
    <w:name w:val="WW8Num3z0"/>
    <w:qFormat/>
    <w:rPr>
      <w:rFonts w:ascii="Times New Roman" w:hAnsi="Times New Roman" w:cs="Times New Roman"/>
      <w:b w:val="false"/>
      <w:i w:val="false"/>
      <w:sz w:val="20"/>
      <w:u w:val="none"/>
    </w:rPr>
  </w:style>
  <w:style w:type="character" w:styleId="WW8Num4z0">
    <w:name w:val="WW8Num4z0"/>
    <w:qFormat/>
    <w:rPr>
      <w:rFonts w:ascii="Times New Roman" w:hAnsi="Times New Roman" w:cs="Times New Roman"/>
      <w:b w:val="false"/>
      <w:i w:val="false"/>
      <w:sz w:val="20"/>
      <w:u w:val="none"/>
    </w:rPr>
  </w:style>
  <w:style w:type="character" w:styleId="WW8Num5z0">
    <w:name w:val="WW8Num5z0"/>
    <w:qFormat/>
    <w:rPr/>
  </w:style>
  <w:style w:type="character" w:styleId="WW8Num6z0">
    <w:name w:val="WW8Num6z0"/>
    <w:qFormat/>
    <w:rPr/>
  </w:style>
  <w:style w:type="character" w:styleId="WW8NumSt3z0">
    <w:name w:val="WW8NumSt3z0"/>
    <w:qFormat/>
    <w:rPr>
      <w:rFonts w:ascii="Wingdings" w:hAnsi="Wingdings" w:cs="Wingdings"/>
      <w:b w:val="false"/>
      <w:i w:val="false"/>
      <w:sz w:val="20"/>
      <w:u w:val="none"/>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2001-05-01T14:22:00Z</dcterms:created>
  <dc:creator>ect</dc:creator>
  <dc:description/>
  <dc:language>en-CA</dc:language>
  <cp:lastModifiedBy>kward</cp:lastModifiedBy>
  <cp:lastPrinted>2001-05-02T15:38:00Z</cp:lastPrinted>
  <dcterms:modified xsi:type="dcterms:W3CDTF">2001-05-02T19:36:00Z</dcterms:modified>
  <cp:revision>25</cp:revision>
  <dc:subject/>
  <dc:title> </dc:title>
</cp:coreProperties>
</file>