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Next w:val="true"/>
        <w:keepLines/>
        <w:spacing w:lineRule="exact" w:line="560" w:before="360" w:after="240"/>
        <w:jc w:val="center"/>
        <w:rPr/>
      </w:pPr>
      <w:r>
        <w:rPr/>
        <w:t>Appendix B</w:t>
      </w:r>
    </w:p>
    <w:p>
      <w:pPr>
        <w:pStyle w:val="Subtitle"/>
        <w:rPr>
          <w:i w:val="false"/>
          <w:i w:val="false"/>
        </w:rPr>
      </w:pPr>
      <w:r>
        <w:rPr>
          <w:i w:val="false"/>
        </w:rPr>
        <w:t>Duke Power's Force Majeure Provisions</w:t>
      </w:r>
    </w:p>
    <w:p>
      <w:pPr>
        <w:pStyle w:val="BodyTextIndent2"/>
        <w:rPr/>
      </w:pPr>
      <w:r>
        <w:rPr/>
        <w:t xml:space="preserve">The force majeure provisions set forth below are suitable for a purchased power agreement. They are adapted from and closely follow the force majeure provisions in EEI’s “Master Power Purchase &amp; Sale Agreement” (Sections 1.22 and 3.3) which was released in November, 1999.  Conforming changes to those provisions are shown in brackets in the text.  Otherwise, the text is identical to EEI’s text.  Additionally, Duke requires certain limited additions to the EEI provisions, which are set forth below in separately identified paragraphs.  In an actual purchased power agreement these additional provisions would be integrated with the provisions from the EEI master agreement.  </w:t>
      </w:r>
    </w:p>
    <w:p>
      <w:pPr>
        <w:pStyle w:val="Normal"/>
        <w:ind w:firstLine="720" w:end="0"/>
        <w:jc w:val="both"/>
        <w:rPr>
          <w:rFonts w:ascii="Arial" w:hAnsi="Arial" w:cs="Arial"/>
          <w:sz w:val="24"/>
        </w:rPr>
      </w:pPr>
      <w:r>
        <w:rPr>
          <w:rFonts w:cs="Arial" w:ascii="Arial" w:hAnsi="Arial"/>
          <w:sz w:val="24"/>
        </w:rPr>
      </w:r>
    </w:p>
    <w:p>
      <w:pPr>
        <w:pStyle w:val="Normal"/>
        <w:rPr/>
      </w:pPr>
      <w:r>
        <w:rPr>
          <w:rFonts w:cs="Arial" w:ascii="Arial" w:hAnsi="Arial"/>
          <w:sz w:val="24"/>
          <w:u w:val="single"/>
        </w:rPr>
        <w:t xml:space="preserve">Definition of Force Majeure </w:t>
      </w:r>
      <w:r>
        <w:rPr>
          <w:rFonts w:cs="Arial" w:ascii="Arial" w:hAnsi="Arial"/>
          <w:sz w:val="24"/>
        </w:rPr>
        <w:t xml:space="preserve">(from EEI Section 1.22 with conforming changes in brackets) </w:t>
      </w:r>
    </w:p>
    <w:p>
      <w:pPr>
        <w:pStyle w:val="Normal"/>
        <w:rPr>
          <w:rFonts w:ascii="Arial" w:hAnsi="Arial" w:cs="Arial"/>
          <w:sz w:val="24"/>
        </w:rPr>
      </w:pPr>
      <w:r>
        <w:rPr>
          <w:rFonts w:cs="Arial" w:ascii="Arial" w:hAnsi="Arial"/>
          <w:sz w:val="24"/>
        </w:rPr>
      </w:r>
    </w:p>
    <w:p>
      <w:pPr>
        <w:pStyle w:val="BodyText"/>
        <w:ind w:firstLine="720" w:end="0"/>
        <w:jc w:val="both"/>
        <w:rPr/>
      </w:pPr>
      <w:r>
        <w:rPr>
          <w:sz w:val="24"/>
        </w:rPr>
        <w:t>“</w:t>
      </w:r>
      <w:r>
        <w:rPr>
          <w:sz w:val="24"/>
        </w:rPr>
        <w:t xml:space="preserve">Force Majeure” means an event or circumstance which prevents one Party from performing its obligations under [this Purchased Power Agreement], which event or circumstance was not anticipated as of the date [of this Agreement],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w:t>
      </w:r>
      <w:r>
        <w:rPr>
          <w:color w:val="000000"/>
          <w:sz w:val="24"/>
          <w:lang w:eastAsia="en-US"/>
        </w:rPr>
        <w:t>(provided that Force Majeure could be based on the loss or failure of Seller's supply if such loss or failure is due to flood, earthquake, tornado, hurricane, fire resulting from natural causes, sabotage, terrorism or war and otherwise meets the criteria for Force Majeure set forth in this paragraph);</w:t>
      </w:r>
      <w:r>
        <w:rPr>
          <w:sz w:val="24"/>
        </w:rPr>
        <w:t xml:space="preserve">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 </w:t>
      </w:r>
    </w:p>
    <w:p>
      <w:pPr>
        <w:pStyle w:val="Normal"/>
        <w:spacing w:lineRule="auto" w:line="480"/>
        <w:rPr>
          <w:rFonts w:ascii="Arial" w:hAnsi="Arial" w:cs="Arial"/>
          <w:sz w:val="24"/>
          <w:u w:val="single"/>
        </w:rPr>
      </w:pPr>
      <w:r>
        <w:rPr>
          <w:rFonts w:cs="Arial" w:ascii="Arial" w:hAnsi="Arial"/>
          <w:sz w:val="24"/>
          <w:u w:val="single"/>
        </w:rPr>
      </w:r>
    </w:p>
    <w:p>
      <w:pPr>
        <w:pStyle w:val="Normal"/>
        <w:rPr>
          <w:rFonts w:ascii="Arial" w:hAnsi="Arial" w:cs="Arial"/>
          <w:i/>
          <w:i/>
          <w:sz w:val="24"/>
        </w:rPr>
      </w:pPr>
      <w:r>
        <w:rPr>
          <w:rFonts w:cs="Arial" w:ascii="Arial" w:hAnsi="Arial"/>
          <w:i/>
          <w:sz w:val="24"/>
        </w:rPr>
        <w:t xml:space="preserve">Additions to EEI Definition of Force Majeure (to be integrated with EEI text in a PPA) </w:t>
      </w:r>
    </w:p>
    <w:p>
      <w:pPr>
        <w:pStyle w:val="Normal"/>
        <w:rPr>
          <w:rFonts w:ascii="Arial" w:hAnsi="Arial" w:cs="Arial"/>
          <w:i/>
          <w:i/>
          <w:sz w:val="24"/>
        </w:rPr>
      </w:pPr>
      <w:r>
        <w:rPr>
          <w:rFonts w:cs="Arial" w:ascii="Arial" w:hAnsi="Arial"/>
          <w:i/>
          <w:sz w:val="24"/>
        </w:rPr>
      </w:r>
    </w:p>
    <w:p>
      <w:pPr>
        <w:pStyle w:val="Normal"/>
        <w:ind w:firstLine="720" w:start="720" w:end="0"/>
        <w:jc w:val="both"/>
        <w:rPr>
          <w:rFonts w:ascii="Arial" w:hAnsi="Arial" w:cs="Arial"/>
          <w:sz w:val="24"/>
        </w:rPr>
      </w:pPr>
      <w:r>
        <w:rPr>
          <w:rFonts w:cs="Arial" w:ascii="Arial" w:hAnsi="Arial"/>
          <w:sz w:val="24"/>
        </w:rPr>
        <w:t xml:space="preserve">Force Majeure shall not be based on:  (x) events or conditions which affect the cost of complying with this Agreement, but do not prevent or delay performance, including changes in fuel costs or other costs of operating or purchasing from Seller’s resources; (y) financial or monetary constraints or inability of either party to pay its debts as they come due; or (z) the disallowance of recovery of any costs related to the sale and purchase of capacity or energy under this agreement by FERC, the NCUC, the SCPSC, or any other governmental agency.          </w:t>
      </w:r>
    </w:p>
    <w:p>
      <w:pPr>
        <w:pStyle w:val="Normal"/>
        <w:spacing w:lineRule="auto" w:line="480"/>
        <w:ind w:firstLine="720" w:end="0"/>
        <w:rPr>
          <w:rFonts w:ascii="Arial" w:hAnsi="Arial" w:cs="Arial"/>
          <w:sz w:val="24"/>
        </w:rPr>
      </w:pPr>
      <w:r>
        <w:rPr>
          <w:rFonts w:cs="Arial" w:ascii="Arial" w:hAnsi="Arial"/>
          <w:sz w:val="24"/>
        </w:rPr>
      </w:r>
    </w:p>
    <w:p>
      <w:pPr>
        <w:pStyle w:val="Normal"/>
        <w:rPr/>
      </w:pPr>
      <w:r>
        <w:rPr>
          <w:rFonts w:cs="Arial" w:ascii="Arial" w:hAnsi="Arial"/>
          <w:sz w:val="24"/>
          <w:u w:val="single"/>
        </w:rPr>
        <w:t xml:space="preserve">Applicability of Force Majeure </w:t>
      </w:r>
      <w:r>
        <w:rPr>
          <w:rFonts w:cs="Arial" w:ascii="Arial" w:hAnsi="Arial"/>
          <w:sz w:val="24"/>
        </w:rPr>
        <w:t xml:space="preserve"> (from EEI Section 3.3 with conforming changes in brackets)  </w:t>
      </w:r>
    </w:p>
    <w:p>
      <w:pPr>
        <w:pStyle w:val="Normal"/>
        <w:rPr>
          <w:rFonts w:ascii="Arial" w:hAnsi="Arial" w:cs="Arial"/>
          <w:sz w:val="24"/>
          <w:lang w:eastAsia="en-US"/>
        </w:rPr>
      </w:pPr>
      <w:r>
        <w:rPr>
          <w:rFonts w:cs="Arial" w:ascii="Arial" w:hAnsi="Arial"/>
          <w:sz w:val="24"/>
          <w:lang w:eastAsia="en-US"/>
        </w:rPr>
      </w:r>
    </w:p>
    <w:p>
      <w:pPr>
        <w:pStyle w:val="Normal"/>
        <w:tabs>
          <w:tab w:val="left" w:pos="-432"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firstLine="720" w:start="720" w:end="0"/>
        <w:jc w:val="both"/>
        <w:rPr>
          <w:rFonts w:ascii="Arial" w:hAnsi="Arial" w:cs="Arial"/>
          <w:sz w:val="24"/>
        </w:rPr>
      </w:pPr>
      <w:r>
        <w:rPr>
          <w:rFonts w:cs="Arial" w:ascii="Arial" w:hAnsi="Arial"/>
          <w:sz w:val="24"/>
        </w:rPr>
        <w:t>To the extent either Party is prevented by Force Majeure from carrying out, in whole or part, its obligations under any Transaction and such Party (the “Claiming Party”) gives notice and details of the Force Majeure to the other Party as soon as practicable, then, unless the terms [hereof] specify otherwise, the Claiming Party shall be excused from the performance of its [corresponding] obligations with respect to [this Agreement]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Normal"/>
        <w:rPr>
          <w:rFonts w:ascii="Arial" w:hAnsi="Arial" w:cs="Arial"/>
          <w:sz w:val="24"/>
        </w:rPr>
      </w:pPr>
      <w:r>
        <w:rPr>
          <w:rFonts w:cs="Arial" w:ascii="Arial" w:hAnsi="Arial"/>
          <w:sz w:val="24"/>
        </w:rPr>
      </w:r>
    </w:p>
    <w:p>
      <w:pPr>
        <w:pStyle w:val="Normal"/>
        <w:rPr/>
      </w:pPr>
      <w:r>
        <w:rPr>
          <w:rFonts w:cs="Arial" w:ascii="Arial" w:hAnsi="Arial"/>
          <w:sz w:val="24"/>
          <w:u w:val="single"/>
          <w:lang w:eastAsia="en-US"/>
        </w:rPr>
        <w:t>Limitations on Applicability of Force Majeure</w:t>
      </w:r>
      <w:r>
        <w:rPr>
          <w:rFonts w:cs="Arial" w:ascii="Arial" w:hAnsi="Arial"/>
          <w:sz w:val="24"/>
          <w:lang w:eastAsia="en-US"/>
        </w:rPr>
        <w:t>. (to be integrated with EEI text in a PPA)</w:t>
      </w:r>
    </w:p>
    <w:p>
      <w:pPr>
        <w:pStyle w:val="Normal"/>
        <w:ind w:firstLine="720" w:start="720" w:end="0"/>
        <w:rPr>
          <w:rFonts w:ascii="Arial" w:hAnsi="Arial" w:cs="Arial"/>
          <w:sz w:val="24"/>
          <w:lang w:eastAsia="en-US"/>
        </w:rPr>
      </w:pPr>
      <w:r>
        <w:rPr>
          <w:rFonts w:cs="Arial" w:ascii="Arial" w:hAnsi="Arial"/>
          <w:sz w:val="24"/>
          <w:lang w:eastAsia="en-US"/>
        </w:rPr>
      </w:r>
    </w:p>
    <w:p>
      <w:pPr>
        <w:pStyle w:val="Normal"/>
        <w:ind w:firstLine="720" w:start="720" w:end="0"/>
        <w:jc w:val="both"/>
        <w:rPr>
          <w:rFonts w:ascii="Arial" w:hAnsi="Arial" w:cs="Arial"/>
          <w:sz w:val="24"/>
          <w:lang w:eastAsia="en-US"/>
        </w:rPr>
      </w:pPr>
      <w:r>
        <w:rPr>
          <w:rFonts w:cs="Arial" w:ascii="Arial" w:hAnsi="Arial"/>
          <w:sz w:val="24"/>
          <w:lang w:eastAsia="en-US"/>
        </w:rPr>
        <w:t>x.1</w:t>
        <w:tab/>
        <w:t>In no event will any delay or failure of performance caused by any conditions or events of Force Majeure extend this Agreement beyond its stated term.</w:t>
      </w:r>
    </w:p>
    <w:p>
      <w:pPr>
        <w:pStyle w:val="Normal"/>
        <w:ind w:firstLine="720" w:start="720" w:end="0"/>
        <w:jc w:val="both"/>
        <w:rPr>
          <w:rFonts w:ascii="Arial" w:hAnsi="Arial" w:cs="Arial"/>
          <w:sz w:val="24"/>
          <w:lang w:eastAsia="en-US"/>
        </w:rPr>
      </w:pPr>
      <w:r>
        <w:rPr>
          <w:rFonts w:cs="Arial" w:ascii="Arial" w:hAnsi="Arial"/>
          <w:sz w:val="24"/>
          <w:lang w:eastAsia="en-US"/>
        </w:rPr>
      </w:r>
    </w:p>
    <w:p>
      <w:pPr>
        <w:pStyle w:val="Normal"/>
        <w:ind w:firstLine="720" w:start="720" w:end="0"/>
        <w:jc w:val="both"/>
        <w:rPr>
          <w:rFonts w:ascii="Arial" w:hAnsi="Arial" w:cs="Arial"/>
          <w:sz w:val="24"/>
          <w:lang w:eastAsia="en-US"/>
        </w:rPr>
      </w:pPr>
      <w:r>
        <w:rPr>
          <w:rFonts w:cs="Arial" w:ascii="Arial" w:hAnsi="Arial"/>
          <w:sz w:val="24"/>
          <w:lang w:eastAsia="en-US"/>
        </w:rPr>
        <w:t>x.2</w:t>
        <w:tab/>
        <w:t>In the event of any delay or failure of performance caused by conditions or events of Force Majeure, which would otherwise constitute an Event of Default pursuant to Article __, any otherwise applicable cure provisions of Article __ shall not apply and if such delay or failure of performance is not cured within 180 days from the date of the occurrence of such Force Majeure then the other Party may, at any time following the end of such 180 day period, terminate this Agreement, upon written notice to the Claiming Party, without further obligation by the terminating Party except as to costs and balances incurred prior to the effective date of such termination.</w:t>
      </w:r>
    </w:p>
    <w:p>
      <w:pPr>
        <w:pStyle w:val="Normal"/>
        <w:ind w:firstLine="720" w:start="720" w:end="0"/>
        <w:jc w:val="both"/>
        <w:rPr>
          <w:rFonts w:ascii="Arial" w:hAnsi="Arial" w:cs="Arial"/>
          <w:sz w:val="24"/>
          <w:lang w:eastAsia="en-US"/>
        </w:rPr>
      </w:pPr>
      <w:r>
        <w:rPr>
          <w:rFonts w:cs="Arial" w:ascii="Arial" w:hAnsi="Arial"/>
          <w:sz w:val="24"/>
          <w:lang w:eastAsia="en-US"/>
        </w:rPr>
      </w:r>
    </w:p>
    <w:p>
      <w:pPr>
        <w:pStyle w:val="Normal"/>
        <w:ind w:firstLine="720" w:start="720" w:end="0"/>
        <w:jc w:val="both"/>
        <w:rPr>
          <w:rFonts w:ascii="Arial" w:hAnsi="Arial" w:cs="Arial"/>
          <w:sz w:val="24"/>
          <w:lang w:eastAsia="en-US"/>
        </w:rPr>
      </w:pPr>
      <w:r>
        <w:rPr>
          <w:rFonts w:cs="Arial" w:ascii="Arial" w:hAnsi="Arial"/>
          <w:sz w:val="24"/>
          <w:lang w:eastAsia="en-US"/>
        </w:rPr>
        <w:t>x.3</w:t>
        <w:tab/>
        <w:t>As soon as the Claiming Party becomes aware that it will be unable to resume its performance which is excused by Force Majeure within 180 days from the date of the occurrence of such Force Majeure, the Claiming Party shall notify the other Party of such circumstances.  Within 30 days of such notification, the other Party shall notify the Claiming Party as to whether it will terminate this Agreement at the conclusion of such 180 day period or whether, and for how long, it will extend such period.</w:t>
      </w:r>
    </w:p>
    <w:p>
      <w:pPr>
        <w:pStyle w:val="Subtitle"/>
        <w:ind w:firstLine="720" w:start="720" w:end="0"/>
        <w:rPr>
          <w:rFonts w:ascii="Arial" w:hAnsi="Arial" w:cs="Arial"/>
          <w:i w:val="false"/>
          <w:i w:val="false"/>
          <w:sz w:val="24"/>
          <w:lang w:eastAsia="en-US"/>
        </w:rPr>
      </w:pPr>
      <w:r>
        <w:rPr>
          <w:rFonts w:cs="Arial"/>
          <w:i w:val="false"/>
          <w:sz w:val="24"/>
          <w:lang w:eastAsia="en-US"/>
        </w:rPr>
      </w:r>
    </w:p>
    <w:p>
      <w:pPr>
        <w:pStyle w:val="Normal"/>
        <w:ind w:firstLine="720" w:start="720" w:end="0"/>
        <w:rPr>
          <w:rFonts w:ascii="Arial" w:hAnsi="Arial" w:cs="Arial"/>
          <w:i/>
          <w:i/>
          <w:sz w:val="24"/>
        </w:rPr>
      </w:pPr>
      <w:r>
        <w:rPr>
          <w:rFonts w:cs="Arial" w:ascii="Arial" w:hAnsi="Arial"/>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Subtitle"/>
    <w:qFormat/>
    <w:pPr>
      <w:keepNext w:val="true"/>
      <w:keepLines/>
      <w:spacing w:lineRule="exact" w:line="560" w:before="360" w:after="240"/>
      <w:jc w:val="center"/>
    </w:pPr>
    <w:rPr>
      <w:rFonts w:ascii="Arial" w:hAnsi="Arial" w:cs="Arial"/>
      <w:b/>
      <w:kern w:val="2"/>
      <w:sz w:val="40"/>
    </w:rPr>
  </w:style>
  <w:style w:type="paragraph" w:styleId="BodyText">
    <w:name w:val="Body Text"/>
    <w:basedOn w:val="Normal"/>
    <w:pPr>
      <w:spacing w:before="0" w:after="120"/>
      <w:ind w:hanging="0" w:start="720" w:end="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Heading"/>
    <w:next w:val="BodyText"/>
    <w:qFormat/>
    <w:pPr>
      <w:spacing w:lineRule="auto" w:line="240" w:before="0" w:after="240"/>
    </w:pPr>
    <w:rPr>
      <w:b w:val="false"/>
      <w:i/>
      <w:sz w:val="28"/>
    </w:rPr>
  </w:style>
  <w:style w:type="paragraph" w:styleId="BodyTextIndent2">
    <w:name w:val="Body Text Indent 2"/>
    <w:basedOn w:val="Normal"/>
    <w:qFormat/>
    <w:pPr>
      <w:ind w:firstLine="720" w:start="720" w:end="0"/>
      <w:jc w:val="both"/>
    </w:pPr>
    <w:rPr>
      <w:rFonts w:ascii="Arial" w:hAnsi="Arial" w:cs="Arial"/>
      <w:i/>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2000-04-12T12:10:00Z</dcterms:created>
  <dc:creator>Craig Truesdell</dc:creator>
  <dc:description/>
  <dc:language>en-CA</dc:language>
  <cp:lastModifiedBy>Craig Truesdell</cp:lastModifiedBy>
  <dcterms:modified xsi:type="dcterms:W3CDTF">2000-04-13T17:01:00Z</dcterms:modified>
  <cp:revision>5</cp:revision>
  <dc:subject/>
  <dc:title>Appendix B</dc:title>
</cp:coreProperties>
</file>