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8.00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Registration and coffee &amp; Introduction from the chair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8.30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Welcome from the chair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8.40</w:t>
      </w:r>
    </w:p>
    <w:p>
      <w:pPr>
        <w:pStyle w:val="Normal"/>
        <w:rPr/>
      </w:pPr>
      <w:r>
        <w:rPr>
          <w:rFonts w:cs="Arial" w:ascii="Arial" w:hAnsi="Arial"/>
          <w:b/>
          <w:i/>
        </w:rPr>
        <w:t xml:space="preserve">Keynote address: </w:t>
        <w:tab/>
      </w:r>
      <w:r>
        <w:rPr>
          <w:rFonts w:cs="Arial" w:ascii="Arial" w:hAnsi="Arial"/>
          <w:b/>
          <w:bCs/>
          <w:i/>
          <w:iCs/>
          <w:lang w:val="en-US"/>
        </w:rPr>
        <w:t>Examining the future role of the FERC in the US energy industry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b/>
          <w:bCs/>
          <w:i/>
          <w:iCs/>
          <w:lang w:val="en-US"/>
        </w:rPr>
        <w:tab/>
        <w:tab/>
        <w:tab/>
        <w:t>Commissioner Linda Key Breathitt, FERC</w:t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9.20 </w:t>
      </w:r>
    </w:p>
    <w:p>
      <w:pPr>
        <w:pStyle w:val="Heading1"/>
        <w:ind w:hanging="0" w:start="0"/>
        <w:rPr/>
      </w:pPr>
      <w:r>
        <w:rPr/>
        <w:t>Panel discussion: A retrospective of power markets in 2000 and the implications for 2001 and beyond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        </w:t>
        <w:tab/>
      </w:r>
      <w:r>
        <w:rPr>
          <w:rFonts w:cs="Arial" w:ascii="Arial" w:hAnsi="Arial"/>
          <w:b/>
        </w:rPr>
        <w:t>Frank Wolak, Stanford University &amp; California ISO</w:t>
        <w:tab/>
        <w:t>Vince Kaminski, Enron Corporation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>Jim Macias, Calpine Corporation</w:t>
        <w:tab/>
        <w:tab/>
        <w:tab/>
        <w:t>Edward Cazalet, Automated Power Exchange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10.20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Morning break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tbl>
      <w:tblPr>
        <w:tblW w:w="14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25"/>
        <w:gridCol w:w="4725"/>
        <w:gridCol w:w="4725"/>
      </w:tblGrid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1: REGULATORY DEVELOPMENTS AND INFRASTRUCTURE CHALLENGES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10.50 Introduction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2: RISK MEASUREMENT, MANAGEMENT AND CONTROL TECHNIQUES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10.50 Introduction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3: ADVANCED PRICING, HEDGING AND TRADING STRATEGIES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10.50 Introduction from the chair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11.00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Case study example: Examining the impact of the Californian power crisis upon Sempra Energy </w:t>
            </w:r>
          </w:p>
          <w:p>
            <w:pPr>
              <w:pStyle w:val="Heading1"/>
              <w:ind w:hanging="0" w:start="0"/>
              <w:rPr/>
            </w:pPr>
            <w:r>
              <w:rPr/>
              <w:t>Mark Randle, Sempra Energy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Brett Humphries, Risk Capital Management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11.00</w:t>
            </w:r>
          </w:p>
          <w:p>
            <w:pPr>
              <w:pStyle w:val="BodyText"/>
              <w:rPr/>
            </w:pPr>
            <w:r>
              <w:rPr/>
              <w:t xml:space="preserve">Examining the impact of price volatility on forward curve effectiveness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i/>
              </w:rPr>
              <w:t>Craig Pirrong, Olin School of Business, Washington University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11.00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Modelling price volatility in US power markets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Vince Kaminski, Enron Corp.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11.45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Examining the use of price caps in a deregulated market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Attn. Lyndell Maddox, PG&amp;E Energy Trading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11.45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Session title to be confirmed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David Shimko, Harvard Business School &amp; Risk Capital Management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11.45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research for the accurate pricing of electricity derivatives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Helyette Geman, ESSEC/University Paris  Dauphine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12.30 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12.30 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12.30 Lunch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2.00</w:t>
            </w:r>
          </w:p>
          <w:p>
            <w:pPr>
              <w:pStyle w:val="BodyText"/>
              <w:rPr/>
            </w:pPr>
            <w:r>
              <w:rPr/>
              <w:t>An examination of the Northwest RTO and developments for 2001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Aram Sogomonian, Pacificorp Power Marketing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2.00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Developing a holistic enterprise risk management approach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  <w:iCs/>
              </w:rPr>
              <w:t>Gary Morsches, Southern Company Energy Marketing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2.00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Session to be confirmed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2.45</w:t>
            </w:r>
          </w:p>
          <w:p>
            <w:pPr>
              <w:pStyle w:val="BodyText"/>
              <w:rPr/>
            </w:pPr>
            <w:r>
              <w:rPr/>
              <w:t xml:space="preserve">Developing an understanding of the interaction of spot and forward markets 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Frank Wolak, Stanford University &amp; California ISO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2.45</w:t>
            </w:r>
          </w:p>
          <w:p>
            <w:pPr>
              <w:pStyle w:val="BodyTex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Latest techniques for the accurate calculation of firm-wide capital allocation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rFonts w:cs="Arial"/>
                <w:i/>
                <w:iCs/>
                <w:lang w:val="en-US"/>
              </w:rPr>
              <w:t>Spyros Maragos, Dynegy Inc.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2.45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Pricing swing options with advanced simulation techniques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Professor Duane Seppi, Carnegie Mellon University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3.30 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3.30 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3.30 Afternoon break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4.00</w:t>
            </w:r>
          </w:p>
          <w:p>
            <w:pPr>
              <w:pStyle w:val="BodyText"/>
              <w:rPr/>
            </w:pPr>
            <w:r>
              <w:rPr/>
              <w:t>Experimentation vs. standardisation of regional energy policies and requirements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William Berry, ISO New England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4.00</w:t>
            </w:r>
          </w:p>
          <w:p>
            <w:pPr>
              <w:pStyle w:val="BodyText"/>
              <w:rPr/>
            </w:pPr>
            <w:r>
              <w:rPr/>
              <w:t>The benefits of successful real options theory for management and risk control</w:t>
            </w:r>
          </w:p>
          <w:p>
            <w:pPr>
              <w:pStyle w:val="Heading1"/>
              <w:ind w:hanging="0" w:start="0"/>
              <w:rPr>
                <w:iCs w:val="false"/>
              </w:rPr>
            </w:pPr>
            <w:r>
              <w:rPr>
                <w:iCs w:val="false"/>
              </w:rPr>
              <w:t>Kenneth Leong, Con Edison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4.00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Unconventional applications of real options </w:t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Peter Nance, Teknecon </w:t>
            </w:r>
          </w:p>
          <w:p>
            <w:pPr>
              <w:pStyle w:val="Heading1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4.45</w:t>
            </w:r>
          </w:p>
          <w:p>
            <w:pPr>
              <w:pStyle w:val="BodyText"/>
              <w:rPr/>
            </w:pPr>
            <w:r>
              <w:rPr/>
              <w:t>Market abuse &amp; fair competition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David Yeres, Clifford Chance Rogers &amp; Wells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4.45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Utilizing results of operational risk quantification techniques in energy utilities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  <w:iCs/>
              </w:rPr>
              <w:t>Kevin Kindall, Enron Corp.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  <w:iCs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4.45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Practical real option valuation techniques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Sailesh Ramamurtie, Southern Company Energy Marketing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5.30 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5.30 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5.30 Closing remarks from the chair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5.45 Gala cocktail reception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8.00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Registration and coffee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8.30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Welcome from the chair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8.40</w:t>
      </w:r>
    </w:p>
    <w:p>
      <w:pPr>
        <w:pStyle w:val="Heading1"/>
        <w:ind w:hanging="0" w:start="0"/>
        <w:rPr/>
      </w:pPr>
      <w:r>
        <w:rPr/>
        <w:t xml:space="preserve">Plenary session: </w:t>
      </w:r>
      <w:r>
        <w:rPr>
          <w:rFonts w:cs="Arial"/>
        </w:rPr>
        <w:t>Examining the balance of regulatory and utility power in the US energy industry – advocating a competitive market environment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 xml:space="preserve">    Lynne Church, President, EPSA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9.20</w:t>
      </w:r>
    </w:p>
    <w:p>
      <w:pPr>
        <w:pStyle w:val="Heading1"/>
        <w:ind w:hanging="0" w:start="0"/>
        <w:rPr/>
      </w:pPr>
      <w:r>
        <w:rPr/>
        <w:t>Panel session: Examining the impact of current price volatility on credit risk management</w:t>
      </w:r>
    </w:p>
    <w:p>
      <w:pPr>
        <w:pStyle w:val="Normal"/>
        <w:rPr/>
      </w:pPr>
      <w:r>
        <w:rPr/>
        <w:tab/>
        <w:tab/>
      </w:r>
      <w:r>
        <w:rPr>
          <w:rFonts w:cs="Arial" w:ascii="Arial" w:hAnsi="Arial"/>
          <w:b/>
        </w:rPr>
        <w:t>Mark Williams, Edison Mission Marketing and Trading</w:t>
      </w:r>
    </w:p>
    <w:p>
      <w:pPr>
        <w:pStyle w:val="Normal"/>
        <w:rPr>
          <w:b/>
        </w:rPr>
      </w:pPr>
      <w:r>
        <w:rPr>
          <w:rFonts w:cs="Arial" w:ascii="Arial" w:hAnsi="Arial"/>
          <w:b/>
        </w:rPr>
        <w:tab/>
        <w:tab/>
        <w:t>Randy Baker, Duke Energy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10.20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Morning break</w:t>
      </w:r>
    </w:p>
    <w:p>
      <w:pPr>
        <w:pStyle w:val="Normal"/>
        <w:rPr/>
      </w:pPr>
      <w:r>
        <w:rPr/>
      </w:r>
    </w:p>
    <w:tbl>
      <w:tblPr>
        <w:tblW w:w="14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25"/>
        <w:gridCol w:w="4725"/>
        <w:gridCol w:w="4725"/>
      </w:tblGrid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1: REGULATORY DEVELOPMENTS AND INFRASTRUCTURE CHALLENGES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10.40 Chairman’s welcome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2: IMPLEMENTING EFFECTIVE CREDIT RISK MANAGEMENT TECHNIQUES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10.40 Chairman’s welcome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3: ADVANCED PRICING, HEDGING AND TRADING STRATEGIES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10.40 Chairman’s welcome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10.50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Addressing the role of increased convergence for future market success  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10.50</w:t>
            </w:r>
          </w:p>
          <w:p>
            <w:pPr>
              <w:pStyle w:val="Heading2"/>
              <w:ind w:hanging="0" w:start="0"/>
              <w:rPr/>
            </w:pPr>
            <w:r>
              <w:rPr/>
              <w:t>Incorporating price spikes into credit risk management</w:t>
            </w:r>
          </w:p>
          <w:p>
            <w:pPr>
              <w:pStyle w:val="Heading1"/>
              <w:ind w:hanging="0" w:start="0"/>
              <w:rPr/>
            </w:pPr>
            <w:r>
              <w:rPr/>
              <w:t>Mark Williams, Edison Mission Marketing and Trading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10.50</w:t>
            </w:r>
          </w:p>
          <w:p>
            <w:pPr>
              <w:pStyle w:val="Heading2"/>
              <w:ind w:hanging="0" w:start="0"/>
              <w:rPr>
                <w:iCs/>
              </w:rPr>
            </w:pPr>
            <w:r>
              <w:rPr>
                <w:iCs/>
              </w:rPr>
              <w:t>Preparing the energy industry for the transition to bandwidth trading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George Wayne &amp; Christopher Melley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Florida Power &amp; Light Group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Cs w:val="false"/>
              </w:rPr>
            </w:pPr>
            <w:r>
              <w:rPr>
                <w:bCs w:val="false"/>
              </w:rPr>
              <w:t>11.30</w:t>
            </w:r>
          </w:p>
          <w:p>
            <w:pPr>
              <w:pStyle w:val="BodyText"/>
              <w:rPr>
                <w:bCs w:val="false"/>
              </w:rPr>
            </w:pPr>
            <w:r>
              <w:rPr>
                <w:bCs w:val="false"/>
              </w:rPr>
              <w:t>Restructuring and reliability challenges facing the US energy industry</w:t>
            </w:r>
          </w:p>
          <w:p>
            <w:pPr>
              <w:pStyle w:val="BodyText"/>
              <w:rPr>
                <w:bCs w:val="false"/>
                <w:i/>
                <w:i/>
                <w:iCs/>
              </w:rPr>
            </w:pPr>
            <w:r>
              <w:rPr>
                <w:bCs w:val="false"/>
                <w:i/>
                <w:iCs/>
              </w:rPr>
              <w:t>Robert Dixon, US Department of Energy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11.30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techniques for the accurate calculation of CVAR</w:t>
            </w:r>
          </w:p>
          <w:p>
            <w:pPr>
              <w:pStyle w:val="Heading1"/>
              <w:ind w:hanging="0" w:start="0"/>
              <w:rPr/>
            </w:pPr>
            <w:r>
              <w:rPr/>
              <w:t>Ehud Ronn, University of Texas at Austin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11.30</w:t>
            </w:r>
          </w:p>
          <w:p>
            <w:pPr>
              <w:pStyle w:val="Heading2"/>
              <w:ind w:hanging="0" w:start="0"/>
              <w:rPr/>
            </w:pPr>
            <w:r>
              <w:rPr/>
              <w:t>Martingale methods for the energy industry</w:t>
            </w:r>
          </w:p>
          <w:p>
            <w:pPr>
              <w:pStyle w:val="Heading1"/>
              <w:ind w:hanging="0" w:start="0"/>
              <w:rPr/>
            </w:pPr>
            <w:r>
              <w:rPr/>
              <w:t>Professor Lane Hughston, Kings College, London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12.10 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12.10 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2"/>
              <w:ind w:hanging="0" w:start="0"/>
              <w:rPr/>
            </w:pPr>
            <w:r>
              <w:rPr/>
              <w:t>12.10 Lunch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1.30</w:t>
            </w:r>
          </w:p>
          <w:p>
            <w:pPr>
              <w:pStyle w:val="BodyText"/>
              <w:rPr/>
            </w:pPr>
            <w:r>
              <w:rPr/>
              <w:t>Examining the impact of the ‘Model Master Power Purchase and Sale Agreement’ on trading, mid- and back-office operations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Andrew S. Katz, Edison Electric Institute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1.30</w:t>
            </w:r>
          </w:p>
          <w:p>
            <w:pPr>
              <w:pStyle w:val="Heading2"/>
              <w:ind w:hanging="0" w:start="0"/>
              <w:rPr/>
            </w:pPr>
            <w:r>
              <w:rPr/>
              <w:t>An examination of ‘Credit 101’</w:t>
            </w:r>
          </w:p>
          <w:p>
            <w:pPr>
              <w:pStyle w:val="Heading1"/>
              <w:ind w:hanging="0" w:start="0"/>
              <w:rPr/>
            </w:pPr>
            <w:r>
              <w:rPr/>
              <w:t>Peter Pavluk, Dynegy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1.30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Valuing the optionality of volume risk and volumetric risk</w:t>
            </w:r>
          </w:p>
          <w:p>
            <w:pPr>
              <w:pStyle w:val="Heading1"/>
              <w:ind w:hanging="0" w:start="0"/>
              <w:rPr/>
            </w:pPr>
            <w:r>
              <w:rPr/>
              <w:t>Michael Day, Duke Energy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Cs/>
              </w:rPr>
            </w:pPr>
            <w:r>
              <w:rPr>
                <w:iCs/>
              </w:rPr>
              <w:t>2.10</w:t>
            </w:r>
          </w:p>
          <w:p>
            <w:pPr>
              <w:pStyle w:val="BodyText"/>
              <w:rPr>
                <w:iCs/>
              </w:rPr>
            </w:pPr>
            <w:r>
              <w:rPr>
                <w:iCs/>
              </w:rPr>
              <w:t>Assessing the legal and regulatory realignment required in the US power markets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  <w:t>Terry Hudgens, PacifiCorp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2.10</w:t>
            </w:r>
          </w:p>
          <w:p>
            <w:pPr>
              <w:pStyle w:val="Heading2"/>
              <w:ind w:hanging="0" w:start="0"/>
              <w:rPr/>
            </w:pPr>
            <w:r>
              <w:rPr/>
              <w:t>Managing credit risk in the new economy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Jeff Kinneman, Enron Credit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2.10</w:t>
            </w:r>
          </w:p>
          <w:p>
            <w:pPr>
              <w:pStyle w:val="BodyText"/>
              <w:rPr/>
            </w:pPr>
            <w:r>
              <w:rPr/>
              <w:t>Addressing the challenges of modelling energy derivatives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  <w:t>Alexander Eydeland, Southern Company Energy Marketing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Cs/>
              </w:rPr>
            </w:pPr>
            <w:r>
              <w:rPr>
                <w:iCs/>
              </w:rPr>
              <w:t>2.40</w:t>
            </w:r>
          </w:p>
          <w:p>
            <w:pPr>
              <w:pStyle w:val="BodyText"/>
              <w:rPr>
                <w:iCs/>
              </w:rPr>
            </w:pPr>
            <w:r>
              <w:rPr>
                <w:iCs/>
              </w:rPr>
              <w:t>Session to be confirmed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2.40</w:t>
            </w:r>
          </w:p>
          <w:p>
            <w:pPr>
              <w:pStyle w:val="BodyText"/>
              <w:rPr/>
            </w:pPr>
            <w:r>
              <w:rPr/>
              <w:t>Utilising alternatives to collateral for effective credit risk management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Randy Baker, Duke Energy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2.40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Pricing and hedging evolving products in retail markets 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  <w:t>Meriwether Anderson, Enron Corp.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3.20 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3.20 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3.20 Afternoon break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3.40</w:t>
            </w:r>
          </w:p>
          <w:p>
            <w:pPr>
              <w:pStyle w:val="BodyText"/>
              <w:rPr/>
            </w:pPr>
            <w:r>
              <w:rPr>
                <w:i/>
                <w:iCs/>
              </w:rPr>
              <w:t xml:space="preserve">AFTERNOON INDUSTRY BRIEFING: </w:t>
            </w:r>
            <w:r>
              <w:rPr>
                <w:i/>
                <w:iCs/>
                <w:caps/>
              </w:rPr>
              <w:t>UTILIZING information technology for enhanceD energy risk maNagement</w:t>
            </w:r>
          </w:p>
          <w:p>
            <w:pPr>
              <w:pStyle w:val="BodyText"/>
              <w:rPr>
                <w:i/>
                <w:i/>
                <w:iCs/>
                <w:caps/>
              </w:rPr>
            </w:pPr>
            <w:r>
              <w:rPr>
                <w:i/>
                <w:iCs/>
                <w:caps/>
              </w:rPr>
            </w:r>
          </w:p>
          <w:p>
            <w:pPr>
              <w:pStyle w:val="BodyText"/>
              <w:rPr/>
            </w:pPr>
            <w:r>
              <w:rPr>
                <w:caps/>
              </w:rPr>
              <w:t>s</w:t>
            </w:r>
            <w:r>
              <w:rPr/>
              <w:t>ession title to be confirmed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  <w:t>Robert Maxant, Deloitte &amp; Touche, LLP.</w:t>
            </w:r>
          </w:p>
          <w:p>
            <w:pPr>
              <w:pStyle w:val="BodyTex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3.40</w:t>
            </w:r>
          </w:p>
          <w:p>
            <w:pPr>
              <w:pStyle w:val="Heading1"/>
              <w:ind w:hanging="0" w:start="0"/>
              <w:rPr/>
            </w:pPr>
            <w:r>
              <w:rPr/>
              <w:t>AFTERNOON INDUSTRY BRIEFING: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LATEST DEVELOPMENTS IN WEATHER DERIVATIVES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  <w:p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Assessing future developments for the weather derivatives market 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ATTN. Ravi Nathan, Aquila Energy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3.40</w:t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AFTERNOON INDUSTRY BRIEFING: 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KEY CONSIDERATIONS TO SUPPORT ELECTRONIC TRADING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Aims and objectives of the ETS Group</w:t>
            </w:r>
          </w:p>
          <w:p>
            <w:pPr>
              <w:pStyle w:val="Heading1"/>
              <w:ind w:hanging="0" w:start="0"/>
              <w:rPr/>
            </w:pPr>
            <w:r>
              <w:rPr/>
              <w:t>Coleman Fung, OpenLink Financial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4.20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Developing an enterprise-wide risk management system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/>
              <w:t>Chris Mammarelli, Independent Consultant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4.20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The growth of precipitation risk management techniques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John Polasek, Koch Industries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4.20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The NYMEX perspective of future electronic trading developments</w:t>
            </w:r>
          </w:p>
          <w:p>
            <w:pPr>
              <w:pStyle w:val="Heading1"/>
              <w:ind w:hanging="0" w:start="0"/>
              <w:rPr/>
            </w:pPr>
            <w:r>
              <w:rPr/>
              <w:t>Louise Burke, NYMEX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5.00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Session to be confirmed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5.00</w:t>
            </w:r>
          </w:p>
          <w:p>
            <w:pPr>
              <w:pStyle w:val="Heading1"/>
              <w:ind w:hanging="0" w:start="0"/>
              <w:rPr>
                <w:rFonts w:cs="Arial"/>
                <w:bCs/>
                <w:i w:val="false"/>
                <w:i w:val="false"/>
                <w:iCs w:val="false"/>
              </w:rPr>
            </w:pPr>
            <w:r>
              <w:rPr>
                <w:rFonts w:cs="Arial"/>
                <w:bCs/>
                <w:i w:val="false"/>
                <w:iCs w:val="false"/>
              </w:rPr>
              <w:t>Invitations extended to:</w:t>
            </w:r>
          </w:p>
          <w:p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Tom Fletcher, Southern Company Energy Mkt.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David Shields, Williams Companies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5.00</w:t>
            </w:r>
          </w:p>
          <w:p>
            <w:pPr>
              <w:pStyle w:val="Heading2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A utility’s perspective of electronic trading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Mohan Rajagopal, Koch Industries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5.40 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5.40 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5.40 Closing remarks from the chair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5.50 End of conference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 of conference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 of conference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16838" w:h="11906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2001-01-11T16:55:00Z</dcterms:created>
  <dc:creator>RISK</dc:creator>
  <dc:description/>
  <dc:language>en-CA</dc:language>
  <cp:lastModifiedBy>guest1</cp:lastModifiedBy>
  <cp:lastPrinted>2001-01-08T08:48:00Z</cp:lastPrinted>
  <dcterms:modified xsi:type="dcterms:W3CDTF">2001-01-11T17:13:00Z</dcterms:modified>
  <cp:revision>5</cp:revision>
  <dc:subject/>
  <dc:title>EPRM 2001 - Potential Topics</dc:title>
</cp:coreProperties>
</file>