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center"/>
        <w:rPr/>
      </w:pPr>
      <w:r>
        <w:rPr/>
        <w:t>[Enron North America letterhead]</w:t>
      </w:r>
    </w:p>
    <w:p>
      <w:pPr>
        <w:pStyle w:val="BodyText"/>
        <w:widowControl/>
        <w:jc w:val="center"/>
        <w:rPr/>
      </w:pPr>
      <w:r>
        <w:rPr/>
      </w:r>
    </w:p>
    <w:p>
      <w:pPr>
        <w:pStyle w:val="BodyText"/>
        <w:widowControl/>
        <w:jc w:val="center"/>
        <w:rPr/>
      </w:pPr>
      <w:r>
        <w:rPr/>
      </w:r>
    </w:p>
    <w:p>
      <w:pPr>
        <w:pStyle w:val="BodyText"/>
        <w:widowControl/>
        <w:jc w:val="center"/>
        <w:rPr/>
      </w:pPr>
      <w:r>
        <w:rPr/>
        <w:t xml:space="preserve">August </w:t>
      </w:r>
      <w:r>
        <w:rPr>
          <w:strike/>
        </w:rPr>
        <w:t>1</w:t>
      </w:r>
      <w:r>
        <w:rPr/>
        <w:t xml:space="preserve"> </w:t>
      </w:r>
      <w:r>
        <w:rPr>
          <w:u w:val="single"/>
        </w:rPr>
        <w:t>3</w:t>
      </w:r>
      <w:r>
        <w:rPr/>
        <w:t>, 2000</w:t>
      </w:r>
    </w:p>
    <w:p>
      <w:pPr>
        <w:pStyle w:val="BodyText"/>
        <w:widowControl/>
        <w:jc w:val="center"/>
        <w:rPr/>
      </w:pPr>
      <w:r>
        <w:rPr/>
      </w:r>
    </w:p>
    <w:p>
      <w:pPr>
        <w:pStyle w:val="BodyText"/>
        <w:widowControl/>
        <w:jc w:val="center"/>
        <w:rPr/>
      </w:pPr>
      <w:r>
        <w:rPr/>
      </w:r>
    </w:p>
    <w:p>
      <w:pPr>
        <w:pStyle w:val="BodyText"/>
        <w:widowControl/>
        <w:jc w:val="center"/>
        <w:rPr/>
      </w:pPr>
      <w:r>
        <w:rPr/>
      </w:r>
    </w:p>
    <w:p>
      <w:pPr>
        <w:pStyle w:val="BodyText"/>
        <w:widowControl/>
        <w:tabs>
          <w:tab w:val="clear" w:pos="720"/>
          <w:tab w:val="right" w:pos="2160" w:leader="none"/>
        </w:tabs>
        <w:rPr/>
      </w:pPr>
      <w:r>
        <w:rPr/>
        <w:t>Mr. Robert Hill</w:t>
      </w:r>
    </w:p>
    <w:p>
      <w:pPr>
        <w:pStyle w:val="BodyText"/>
        <w:widowControl/>
        <w:tabs>
          <w:tab w:val="clear" w:pos="720"/>
          <w:tab w:val="right" w:pos="2160" w:leader="none"/>
        </w:tabs>
        <w:rPr/>
      </w:pPr>
      <w:r>
        <w:rPr/>
        <w:t xml:space="preserve">Northern Border Intermediate </w:t>
      </w:r>
    </w:p>
    <w:p>
      <w:pPr>
        <w:pStyle w:val="BodyText"/>
        <w:widowControl/>
        <w:tabs>
          <w:tab w:val="clear" w:pos="720"/>
          <w:tab w:val="right" w:pos="2160" w:leader="none"/>
        </w:tabs>
        <w:rPr/>
      </w:pPr>
      <w:r>
        <w:rPr/>
        <w:t xml:space="preserve">    </w:t>
      </w:r>
      <w:r>
        <w:rPr/>
        <w:t>Limited Partnership</w:t>
      </w:r>
    </w:p>
    <w:p>
      <w:pPr>
        <w:pStyle w:val="BodyText"/>
        <w:widowControl/>
        <w:tabs>
          <w:tab w:val="clear" w:pos="720"/>
          <w:tab w:val="right" w:pos="2160" w:leader="none"/>
        </w:tabs>
        <w:rPr/>
      </w:pPr>
      <w:r>
        <w:rPr/>
        <w:t>1111 South 103rd Street</w:t>
      </w:r>
    </w:p>
    <w:p>
      <w:pPr>
        <w:pStyle w:val="BodyText"/>
        <w:widowControl/>
        <w:tabs>
          <w:tab w:val="clear" w:pos="720"/>
          <w:tab w:val="right" w:pos="2160" w:leader="none"/>
        </w:tabs>
        <w:rPr/>
      </w:pPr>
      <w:r>
        <w:rPr/>
        <w:t>Omaha, Nebraska  68124-1000</w:t>
      </w:r>
    </w:p>
    <w:p>
      <w:pPr>
        <w:pStyle w:val="BodyText"/>
        <w:widowControl/>
        <w:rPr/>
      </w:pPr>
      <w:r>
        <w:rPr/>
      </w:r>
    </w:p>
    <w:p>
      <w:pPr>
        <w:pStyle w:val="BodyText"/>
        <w:widowControl/>
        <w:ind w:start="1440" w:end="0"/>
        <w:rPr/>
      </w:pPr>
      <w:r>
        <w:rPr>
          <w:i/>
          <w:iCs/>
        </w:rPr>
        <w:t>Re:</w:t>
      </w:r>
      <w:r>
        <w:rPr/>
        <w:tab/>
      </w:r>
      <w:r>
        <w:rPr>
          <w:i/>
          <w:iCs/>
        </w:rPr>
        <w:t>Letter of Understanding - Proposed Sale of Membership Interests</w:t>
      </w:r>
    </w:p>
    <w:p>
      <w:pPr>
        <w:pStyle w:val="BodyText"/>
        <w:widowControl/>
        <w:rPr>
          <w:b/>
          <w:bCs/>
        </w:rPr>
      </w:pPr>
      <w:r>
        <w:rPr>
          <w:b/>
          <w:bCs/>
        </w:rPr>
      </w:r>
    </w:p>
    <w:p>
      <w:pPr>
        <w:pStyle w:val="BodyText"/>
        <w:widowControl/>
        <w:rPr/>
      </w:pPr>
      <w:r>
        <w:rPr/>
        <w:t>Dear Bob:</w:t>
      </w:r>
    </w:p>
    <w:p>
      <w:pPr>
        <w:pStyle w:val="BodyText"/>
        <w:widowControl/>
        <w:rPr/>
      </w:pPr>
      <w:r>
        <w:rPr/>
      </w:r>
    </w:p>
    <w:p>
      <w:pPr>
        <w:pStyle w:val="BodyTextFirstIndent"/>
        <w:widowControl/>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iCs/>
        </w:rPr>
        <w:t xml:space="preserve">Attachment 1 </w:t>
      </w:r>
      <w:r>
        <w:rPr/>
        <w:t>for the price and on the other terms and conditions set forth in this letter and the Term Sheet (the “Transaction”).</w:t>
      </w:r>
    </w:p>
    <w:p>
      <w:pPr>
        <w:pStyle w:val="Heading1"/>
        <w:widowControl/>
        <w:tabs>
          <w:tab w:val="left" w:pos="720" w:leader="none"/>
          <w:tab w:val="left" w:pos="1440" w:leader="none"/>
        </w:tabs>
        <w:ind w:firstLine="720" w:end="0"/>
        <w:rPr/>
      </w:pPr>
      <w:r>
        <w:rPr/>
        <w:t>1.</w:t>
        <w:tab/>
      </w:r>
      <w:r>
        <w:rPr>
          <w:i/>
          <w:iCs/>
        </w:rPr>
        <w:t>Term Sheet</w:t>
      </w:r>
      <w:r>
        <w:rPr/>
        <w:t>.  The terms and conditions of the Transaction are set forth in this letter and the Term Sheet.  To the extent there is any conflict between the Term Sheet and this letter, this letter shall control.</w:t>
      </w:r>
    </w:p>
    <w:p>
      <w:pPr>
        <w:pStyle w:val="Heading1"/>
        <w:widowControl/>
        <w:tabs>
          <w:tab w:val="left" w:pos="720" w:leader="none"/>
          <w:tab w:val="left" w:pos="1440" w:leader="none"/>
        </w:tabs>
        <w:ind w:firstLine="720" w:end="0"/>
        <w:rPr/>
      </w:pPr>
      <w:r>
        <w:rPr/>
        <w:t>2.</w:t>
        <w:tab/>
      </w:r>
      <w:r>
        <w:rPr>
          <w:i/>
          <w:iCs/>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widowControl/>
        <w:tabs>
          <w:tab w:val="clear" w:pos="720"/>
          <w:tab w:val="left" w:pos="1440" w:leader="none"/>
        </w:tabs>
        <w:ind w:firstLine="720" w:end="0"/>
        <w:rPr/>
      </w:pPr>
      <w:r>
        <w:rPr/>
        <w:t>3.</w:t>
        <w:tab/>
      </w:r>
      <w:r>
        <w:rPr>
          <w:i/>
          <w:iCs/>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widowControl/>
        <w:tabs>
          <w:tab w:val="clear" w:pos="720"/>
          <w:tab w:val="left" w:pos="1440" w:leader="none"/>
        </w:tabs>
        <w:ind w:firstLine="720" w:end="0"/>
        <w:rPr/>
      </w:pPr>
      <w:r>
        <w:rPr/>
        <w:t>4.</w:t>
        <w:tab/>
      </w:r>
      <w:r>
        <w:rPr>
          <w:i/>
          <w:iCs/>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widowControl/>
        <w:tabs>
          <w:tab w:val="clear" w:pos="720"/>
          <w:tab w:val="left" w:pos="1440" w:leader="none"/>
        </w:tabs>
        <w:ind w:firstLine="720" w:end="0"/>
        <w:rPr/>
      </w:pPr>
      <w:r>
        <w:rPr/>
        <w:t>5.</w:t>
        <w:tab/>
      </w:r>
      <w:r>
        <w:rPr>
          <w:i/>
          <w:iCs/>
        </w:rPr>
        <w:t>Board of Director Approval</w:t>
      </w:r>
      <w:r>
        <w:rPr/>
        <w:t xml:space="preserve">.  The closing of the Transaction is subject to, in addition to the other conditions herein and in the Term Sheet, the approval of the board of directors of Seller and the </w:t>
      </w:r>
      <w:r>
        <w:rPr>
          <w:strike/>
        </w:rPr>
        <w:t>audit</w:t>
      </w:r>
      <w:r>
        <w:rPr/>
        <w:t xml:space="preserve"> </w:t>
      </w:r>
      <w:r>
        <w:rPr>
          <w:u w:val="single"/>
        </w:rPr>
        <w:t>partnership policy</w:t>
      </w:r>
      <w:r>
        <w:rPr/>
        <w:t xml:space="preserve"> committee </w:t>
      </w:r>
      <w:r>
        <w:rPr>
          <w:u w:val="single"/>
        </w:rPr>
        <w:t>of Buyer</w:t>
      </w:r>
      <w:r>
        <w:rPr/>
        <w:t xml:space="preserve"> and the </w:t>
      </w:r>
      <w:r>
        <w:rPr>
          <w:strike/>
        </w:rPr>
        <w:t>policy</w:t>
      </w:r>
      <w:r>
        <w:rPr/>
        <w:t xml:space="preserve"> </w:t>
      </w:r>
      <w:r>
        <w:rPr>
          <w:u w:val="single"/>
        </w:rPr>
        <w:t>special approval of the audit</w:t>
      </w:r>
      <w:r>
        <w:rPr/>
        <w:t xml:space="preserve"> committee of Buyer, which approvals have not yet been obtained.</w:t>
      </w:r>
    </w:p>
    <w:p>
      <w:pPr>
        <w:pStyle w:val="Heading1"/>
        <w:widowControl/>
        <w:tabs>
          <w:tab w:val="clear" w:pos="720"/>
          <w:tab w:val="left" w:pos="1440" w:leader="none"/>
        </w:tabs>
        <w:ind w:firstLine="720" w:end="0"/>
        <w:rPr/>
      </w:pPr>
      <w:r>
        <w:rPr/>
        <w:t>6.</w:t>
        <w:tab/>
      </w:r>
      <w:r>
        <w:rPr>
          <w:i/>
          <w:iCs/>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widowControl/>
        <w:tabs>
          <w:tab w:val="clear" w:pos="720"/>
          <w:tab w:val="left" w:pos="1440" w:leader="none"/>
        </w:tabs>
        <w:ind w:firstLine="720" w:end="0"/>
        <w:rPr/>
      </w:pPr>
      <w:r>
        <w:rPr/>
        <w:t>7.</w:t>
        <w:tab/>
      </w:r>
      <w:r>
        <w:rPr>
          <w:i/>
          <w:iCs/>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4, 2000, this letter shall be null and void.</w:t>
      </w:r>
    </w:p>
    <w:p>
      <w:pPr>
        <w:pStyle w:val="Signature"/>
        <w:rPr/>
      </w:pPr>
      <w:r>
        <w:rPr/>
        <w:t>Very truly yours,</w:t>
      </w:r>
    </w:p>
    <w:p>
      <w:pPr>
        <w:pStyle w:val="Signature"/>
        <w:rPr/>
      </w:pPr>
      <w:r>
        <w:rPr/>
      </w:r>
    </w:p>
    <w:p>
      <w:pPr>
        <w:pStyle w:val="Signature"/>
        <w:keepNext w:val="true"/>
        <w:keepLines/>
        <w:rPr/>
      </w:pPr>
      <w:r>
        <w:rPr/>
        <w:t>ENRON NORTH AMERICA CORP.</w:t>
      </w:r>
    </w:p>
    <w:p>
      <w:pPr>
        <w:pStyle w:val="Signature"/>
        <w:widowControl/>
        <w:rPr/>
      </w:pPr>
      <w:r>
        <w:rPr/>
      </w:r>
    </w:p>
    <w:p>
      <w:pPr>
        <w:pStyle w:val="Signature"/>
        <w:widowControl/>
        <w:tabs>
          <w:tab w:val="clear" w:pos="9360"/>
          <w:tab w:val="right" w:pos="8640" w:leader="none"/>
        </w:tabs>
        <w:rPr/>
      </w:pPr>
      <w:r>
        <w:rPr/>
        <w:t>By:</w:t>
      </w:r>
      <w:r>
        <w:rPr>
          <w:u w:val="single"/>
        </w:rPr>
        <w:tab/>
      </w:r>
    </w:p>
    <w:p>
      <w:pPr>
        <w:pStyle w:val="Signature"/>
        <w:widowControl/>
        <w:tabs>
          <w:tab w:val="clear" w:pos="9360"/>
          <w:tab w:val="right" w:pos="8640" w:leader="none"/>
        </w:tabs>
        <w:rPr/>
      </w:pPr>
      <w:r>
        <w:rPr/>
        <w:t>Name:</w:t>
      </w:r>
      <w:r>
        <w:rPr>
          <w:u w:val="single"/>
        </w:rPr>
        <w:tab/>
      </w:r>
    </w:p>
    <w:p>
      <w:pPr>
        <w:pStyle w:val="Signature"/>
        <w:widowControl/>
        <w:tabs>
          <w:tab w:val="clear" w:pos="9360"/>
          <w:tab w:val="right" w:pos="8640" w:leader="none"/>
        </w:tabs>
        <w:rPr/>
      </w:pPr>
      <w:r>
        <w:rPr/>
        <w:t>Title:</w:t>
      </w:r>
      <w:r>
        <w:rPr>
          <w:u w:val="single"/>
        </w:rPr>
        <w:tab/>
      </w:r>
    </w:p>
    <w:p>
      <w:pPr>
        <w:pStyle w:val="BodyText"/>
        <w:widowControl/>
        <w:rPr/>
      </w:pPr>
      <w:r>
        <w:rPr/>
      </w:r>
    </w:p>
    <w:p>
      <w:pPr>
        <w:pStyle w:val="BodyText"/>
        <w:widowControl/>
        <w:rPr/>
      </w:pPr>
      <w:r>
        <w:rPr/>
      </w:r>
    </w:p>
    <w:p>
      <w:pPr>
        <w:pStyle w:val="BodyText"/>
        <w:widowControl/>
        <w:rPr/>
      </w:pPr>
      <w:r>
        <w:rPr/>
        <w:t>ACCEPTED and AGREED TO</w:t>
      </w:r>
    </w:p>
    <w:p>
      <w:pPr>
        <w:pStyle w:val="BodyText"/>
        <w:widowControl/>
        <w:rPr/>
      </w:pPr>
      <w:r>
        <w:rPr/>
        <w:t>this __ day of ______, 2000:</w:t>
      </w:r>
    </w:p>
    <w:p>
      <w:pPr>
        <w:pStyle w:val="BodyText"/>
        <w:widowControl/>
        <w:rPr/>
      </w:pPr>
      <w:r>
        <w:rPr/>
      </w:r>
    </w:p>
    <w:p>
      <w:pPr>
        <w:pStyle w:val="BodyText"/>
        <w:widowControl/>
        <w:rPr/>
      </w:pPr>
      <w:r>
        <w:rPr/>
        <w:t xml:space="preserve">NORTHERN BORDER INTERMEDIATE </w:t>
      </w:r>
    </w:p>
    <w:p>
      <w:pPr>
        <w:pStyle w:val="BodyText"/>
        <w:widowControl/>
        <w:rPr/>
      </w:pPr>
      <w:r>
        <w:rPr/>
        <w:t xml:space="preserve">    </w:t>
      </w:r>
      <w:r>
        <w:rPr/>
        <w:t>LIMITED PARTNERSHIP</w:t>
      </w:r>
    </w:p>
    <w:p>
      <w:pPr>
        <w:pStyle w:val="BodyText"/>
        <w:widowControl/>
        <w:rPr/>
      </w:pPr>
      <w:r>
        <w:rPr/>
      </w:r>
    </w:p>
    <w:p>
      <w:pPr>
        <w:pStyle w:val="BodyText"/>
        <w:widowControl/>
        <w:tabs>
          <w:tab w:val="clear" w:pos="720"/>
          <w:tab w:val="right" w:pos="3600" w:leader="none"/>
        </w:tabs>
        <w:rPr/>
      </w:pPr>
      <w:r>
        <w:rPr/>
        <w:t>By:</w:t>
      </w:r>
      <w:r>
        <w:rPr>
          <w:u w:val="single"/>
        </w:rPr>
        <w:tab/>
      </w:r>
    </w:p>
    <w:p>
      <w:pPr>
        <w:pStyle w:val="BodyText"/>
        <w:widowControl/>
        <w:tabs>
          <w:tab w:val="clear" w:pos="720"/>
          <w:tab w:val="right" w:pos="3600" w:leader="none"/>
        </w:tabs>
        <w:rPr/>
      </w:pPr>
      <w:r>
        <w:rPr/>
        <w:t>Name:</w:t>
      </w:r>
      <w:r>
        <w:rPr>
          <w:u w:val="single"/>
        </w:rPr>
        <w:tab/>
      </w:r>
    </w:p>
    <w:p>
      <w:pPr>
        <w:pStyle w:val="BodyText"/>
        <w:widowControl/>
        <w:tabs>
          <w:tab w:val="clear" w:pos="720"/>
          <w:tab w:val="right" w:pos="3600" w:leader="none"/>
        </w:tabs>
        <w:rPr/>
      </w:pPr>
      <w:r>
        <w:rPr/>
        <w:t>Title:</w:t>
      </w:r>
      <w:r>
        <w:rPr>
          <w:u w:val="single"/>
        </w:rPr>
        <w:tab/>
      </w:r>
      <w:r>
        <w:br w:type="page"/>
      </w:r>
    </w:p>
    <w:p>
      <w:pPr>
        <w:pStyle w:val="BodyText"/>
        <w:widowControl/>
        <w:tabs>
          <w:tab w:val="clear" w:pos="720"/>
          <w:tab w:val="right" w:pos="3600" w:leader="none"/>
        </w:tabs>
        <w:rPr>
          <w:u w:val="single"/>
        </w:rPr>
      </w:pPr>
      <w:r>
        <w:rPr>
          <w:u w:val="single"/>
        </w:rPr>
      </w:r>
    </w:p>
    <w:p>
      <w:pPr>
        <w:pStyle w:val="Title"/>
        <w:widowControl/>
        <w:spacing w:before="240" w:after="0"/>
        <w:rPr/>
      </w:pPr>
      <w:r>
        <w:rPr/>
        <w:t>Attachment 1</w:t>
      </w:r>
    </w:p>
    <w:p>
      <w:pPr>
        <w:pStyle w:val="Title"/>
        <w:widowControl/>
        <w:spacing w:before="240" w:after="0"/>
        <w:rPr>
          <w:sz w:val="20"/>
          <w:szCs w:val="20"/>
        </w:rPr>
      </w:pPr>
      <w:r>
        <w:rPr/>
        <w:t>TRANSACTION TERM SHEET</w:t>
      </w:r>
    </w:p>
    <w:p>
      <w:pPr>
        <w:pStyle w:val="BodyText"/>
        <w:widowControl/>
        <w:rPr>
          <w:sz w:val="20"/>
          <w:szCs w:val="20"/>
        </w:rPr>
      </w:pPr>
      <w:r>
        <w:rPr>
          <w:sz w:val="20"/>
          <w:szCs w:val="20"/>
        </w:rPr>
      </w:r>
    </w:p>
    <w:p>
      <w:pPr>
        <w:pStyle w:val="table"/>
        <w:widowControl/>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widowControl/>
              <w:rPr>
                <w:sz w:val="24"/>
                <w:szCs w:val="24"/>
              </w:rPr>
            </w:pPr>
            <w:r>
              <w:rPr>
                <w:b/>
                <w:bCs/>
                <w:sz w:val="24"/>
                <w:szCs w:val="24"/>
              </w:rPr>
              <w:t>Parties:</w:t>
            </w:r>
          </w:p>
        </w:tc>
        <w:tc>
          <w:tcPr>
            <w:tcW w:w="7308" w:type="dxa"/>
            <w:tcBorders/>
          </w:tcPr>
          <w:p>
            <w:pPr>
              <w:pStyle w:val="Normal"/>
              <w:widowControl/>
              <w:jc w:val="both"/>
              <w:rPr>
                <w:sz w:val="24"/>
                <w:szCs w:val="24"/>
              </w:rPr>
            </w:pPr>
            <w:r>
              <w:rPr>
                <w:sz w:val="24"/>
                <w:szCs w:val="24"/>
              </w:rPr>
              <w:t>Enron North America Corp., as seller (“Seller”) and Northern Border Intermediate Limited Partnership, or its affiliate, as buyer (“Buyer”).  Buyer and Seller are referred to herein individually as a “Party” and collectively as the “Parties.”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Structure and</w:t>
            </w:r>
          </w:p>
          <w:p>
            <w:pPr>
              <w:pStyle w:val="Normal"/>
              <w:widowControl/>
              <w:rPr>
                <w:b/>
                <w:bCs/>
                <w:sz w:val="24"/>
                <w:szCs w:val="24"/>
              </w:rPr>
            </w:pPr>
            <w:r>
              <w:rPr>
                <w:b/>
                <w:bCs/>
                <w:sz w:val="24"/>
                <w:szCs w:val="24"/>
              </w:rPr>
              <w:t>Purpose of Buyer:</w:t>
            </w:r>
          </w:p>
        </w:tc>
        <w:tc>
          <w:tcPr>
            <w:tcW w:w="7308" w:type="dxa"/>
            <w:tcBorders/>
          </w:tcPr>
          <w:p>
            <w:pPr>
              <w:pStyle w:val="BodyText"/>
              <w:widowControl/>
              <w:ind w:firstLine="18" w:start="-18" w:end="0"/>
              <w:rPr/>
            </w:pPr>
            <w:r>
              <w:rPr/>
              <w:t xml:space="preserve">Buyer </w:t>
            </w:r>
            <w:r>
              <w:rPr>
                <w:strike/>
              </w:rPr>
              <w:t>will be</w:t>
            </w:r>
            <w:r>
              <w:rPr/>
              <w:t xml:space="preserve"> </w:t>
            </w:r>
            <w:r>
              <w:rPr>
                <w:u w:val="single"/>
              </w:rPr>
              <w:t>is</w:t>
            </w:r>
            <w:r>
              <w:rPr/>
              <w:t xml:space="preserve"> a subsidiary of Northern Border Partners, L.P. </w:t>
            </w:r>
            <w:r>
              <w:rPr>
                <w:strike/>
              </w:rPr>
              <w:t>created to</w:t>
            </w:r>
            <w:r>
              <w:rPr/>
              <w:t xml:space="preserve"> </w:t>
            </w:r>
            <w:r>
              <w:rPr>
                <w:u w:val="single"/>
              </w:rPr>
              <w:t>and will</w:t>
            </w:r>
            <w:r>
              <w:rPr/>
              <w:t xml:space="preserve"> hold the Transferred Membership Interests and </w:t>
            </w:r>
            <w:r>
              <w:rPr>
                <w:strike/>
              </w:rPr>
              <w:t>to</w:t>
            </w:r>
            <w:r>
              <w:rPr/>
              <w:t xml:space="preserve">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widowControl/>
              <w:ind w:firstLine="18" w:start="-18" w:end="0"/>
              <w:rPr/>
            </w:pPr>
            <w:r>
              <w:rPr/>
            </w:r>
          </w:p>
        </w:tc>
      </w:tr>
      <w:tr>
        <w:trPr/>
        <w:tc>
          <w:tcPr>
            <w:tcW w:w="2268" w:type="dxa"/>
            <w:tcBorders/>
          </w:tcPr>
          <w:p>
            <w:pPr>
              <w:pStyle w:val="Normal"/>
              <w:widowControl/>
              <w:rPr>
                <w:b/>
                <w:bCs/>
                <w:sz w:val="24"/>
                <w:szCs w:val="24"/>
              </w:rPr>
            </w:pPr>
            <w:r>
              <w:rPr>
                <w:b/>
                <w:bCs/>
                <w:sz w:val="24"/>
                <w:szCs w:val="24"/>
              </w:rPr>
              <w:t>Structure of</w:t>
            </w:r>
          </w:p>
          <w:p>
            <w:pPr>
              <w:pStyle w:val="Normal"/>
              <w:widowControl/>
              <w:jc w:val="both"/>
              <w:rPr>
                <w:b/>
                <w:bCs/>
                <w:sz w:val="24"/>
                <w:szCs w:val="24"/>
              </w:rPr>
            </w:pPr>
            <w:r>
              <w:rPr>
                <w:b/>
                <w:bCs/>
                <w:sz w:val="24"/>
                <w:szCs w:val="24"/>
              </w:rPr>
              <w:t>Transaction:</w:t>
            </w:r>
          </w:p>
        </w:tc>
        <w:tc>
          <w:tcPr>
            <w:tcW w:w="7308" w:type="dxa"/>
            <w:tcBorders/>
          </w:tcPr>
          <w:p>
            <w:pPr>
              <w:pStyle w:val="BodyText"/>
              <w:widowControl/>
              <w:ind w:firstLine="18" w:start="-18" w:end="0"/>
              <w:rPr/>
            </w:pPr>
            <w:r>
              <w:rPr/>
              <w:t>Under the</w:t>
            </w:r>
            <w:r>
              <w:rPr>
                <w:b/>
                <w:bCs/>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widowControl/>
              <w:ind w:hanging="3600" w:start="3600" w:end="0"/>
              <w:rPr/>
            </w:pPr>
            <w:r>
              <w:rPr/>
            </w:r>
          </w:p>
          <w:p>
            <w:pPr>
              <w:pStyle w:val="BodyText"/>
              <w:widowControl/>
              <w:ind w:firstLine="360" w:start="612" w:end="0"/>
              <w:rPr/>
            </w:pPr>
            <w:r>
              <w:rPr/>
              <w:t xml:space="preserve">1.  </w:t>
            </w:r>
            <w:r>
              <w:rPr>
                <w:i/>
                <w:iCs/>
              </w:rPr>
              <w:t>ECT Wind</w:t>
            </w:r>
            <w:r>
              <w:rPr>
                <w:b/>
                <w:bCs/>
                <w:i/>
                <w:iCs/>
              </w:rPr>
              <w:t xml:space="preserve"> </w:t>
            </w:r>
            <w:r>
              <w:rPr>
                <w:i/>
                <w:iCs/>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widowControl/>
              <w:ind w:firstLine="360" w:start="612" w:end="0"/>
              <w:rPr/>
            </w:pPr>
            <w:r>
              <w:rPr/>
            </w:r>
          </w:p>
          <w:p>
            <w:pPr>
              <w:pStyle w:val="BodyText"/>
              <w:widowControl/>
              <w:ind w:firstLine="360" w:start="612" w:end="0"/>
              <w:rPr/>
            </w:pPr>
            <w:r>
              <w:rPr/>
              <w:t xml:space="preserve">2.  </w:t>
            </w:r>
            <w:r>
              <w:rPr>
                <w:i/>
                <w:iCs/>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widowControl/>
              <w:ind w:firstLine="360" w:start="612" w:end="0"/>
              <w:rPr/>
            </w:pPr>
            <w:r>
              <w:rPr/>
            </w:r>
          </w:p>
          <w:p>
            <w:pPr>
              <w:pStyle w:val="Normal"/>
              <w:widowControl/>
              <w:ind w:firstLine="360" w:start="612" w:end="0"/>
              <w:jc w:val="both"/>
              <w:rPr/>
            </w:pPr>
            <w:r>
              <w:rPr>
                <w:sz w:val="24"/>
                <w:szCs w:val="24"/>
              </w:rPr>
              <w:t xml:space="preserve">3.  </w:t>
            </w:r>
            <w:r>
              <w:rPr>
                <w:i/>
                <w:iCs/>
                <w:sz w:val="24"/>
                <w:szCs w:val="24"/>
              </w:rPr>
              <w:t xml:space="preserve">Enron Midstream Services, L.L.C. </w:t>
            </w:r>
            <w:r>
              <w:rPr>
                <w:sz w:val="24"/>
                <w:szCs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Purchase Price:</w:t>
            </w:r>
          </w:p>
        </w:tc>
        <w:tc>
          <w:tcPr>
            <w:tcW w:w="7308" w:type="dxa"/>
            <w:tcBorders/>
          </w:tcPr>
          <w:p>
            <w:pPr>
              <w:pStyle w:val="BodyText"/>
              <w:widowControl/>
              <w:rPr/>
            </w:pPr>
            <w:r>
              <w:rPr/>
              <w:t xml:space="preserve">The purchase price for the Transferred Membership Interests will be $205,000,000.  $ ________ of the purchase price shall be paid under a promissory note executed by Buyer at the closing that includes the terms shown in </w:t>
            </w:r>
            <w:r>
              <w:rPr>
                <w:i/>
                <w:iCs/>
              </w:rPr>
              <w:t xml:space="preserve">Attachment 2 </w:t>
            </w:r>
            <w:r>
              <w:rPr/>
              <w:t xml:space="preserve">(the “Note”) with the balance of the purchase price paid in immediately available funds at the closing.  The purchase price shall be adjusted as provided in the Purchase Agreement, including an upward adjustment for all </w:t>
            </w:r>
            <w:r>
              <w:rPr>
                <w:u w:val="single"/>
              </w:rPr>
              <w:t>reasonable</w:t>
            </w:r>
            <w:r>
              <w:rPr/>
              <w:t xml:space="preserve"> costs and expenses paid by Seller that relate to the period after the Effective Date </w:t>
            </w:r>
            <w:r>
              <w:rPr>
                <w:u w:val="single"/>
              </w:rPr>
              <w:t>and that are incurred in the ordinary course of business consistent with past practices</w:t>
            </w:r>
            <w:r>
              <w:rPr/>
              <w:t xml:space="preserve">, including capital expenditures, employee expenses, and general and administrative expenses (excluding Enron Corp. internal allocations) and a downward adjustment for all revenues </w:t>
            </w:r>
            <w:r>
              <w:rPr>
                <w:u w:val="single"/>
              </w:rPr>
              <w:t>and interest income</w:t>
            </w:r>
            <w:r>
              <w:rPr/>
              <w:t xml:space="preserve"> received by Seller that relate to the period after the Effective Date.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Effective Date and</w:t>
            </w:r>
          </w:p>
          <w:p>
            <w:pPr>
              <w:pStyle w:val="Normal"/>
              <w:widowControl/>
              <w:jc w:val="both"/>
              <w:rPr>
                <w:b/>
                <w:bCs/>
                <w:sz w:val="24"/>
                <w:szCs w:val="24"/>
              </w:rPr>
            </w:pPr>
            <w:r>
              <w:rPr>
                <w:b/>
                <w:bCs/>
                <w:sz w:val="24"/>
                <w:szCs w:val="24"/>
              </w:rPr>
              <w:t>Closing Date:</w:t>
            </w:r>
          </w:p>
        </w:tc>
        <w:tc>
          <w:tcPr>
            <w:tcW w:w="7308" w:type="dxa"/>
            <w:tcBorders/>
          </w:tcPr>
          <w:p>
            <w:pPr>
              <w:pStyle w:val="Normal"/>
              <w:widowControl/>
              <w:jc w:val="both"/>
              <w:rPr>
                <w:sz w:val="24"/>
                <w:szCs w:val="24"/>
              </w:rPr>
            </w:pPr>
            <w:r>
              <w:rPr>
                <w:sz w:val="24"/>
                <w:szCs w:val="24"/>
              </w:rPr>
              <w:t>The effective date of the transaction will be July 1, 2000 (the “Effective Date”).  Buyer and Seller will use their reasonable efforts to cause the closing of the Transaction to occur on or before August 31, 2000 (the “Closing Date”).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Representations of</w:t>
            </w:r>
          </w:p>
          <w:p>
            <w:pPr>
              <w:pStyle w:val="Normal"/>
              <w:widowControl/>
              <w:rPr>
                <w:b/>
                <w:bCs/>
                <w:sz w:val="24"/>
                <w:szCs w:val="24"/>
              </w:rPr>
            </w:pPr>
            <w:r>
              <w:rPr>
                <w:b/>
                <w:bCs/>
                <w:sz w:val="24"/>
                <w:szCs w:val="24"/>
              </w:rPr>
              <w:t>Seller and Buyer:</w:t>
            </w:r>
          </w:p>
        </w:tc>
        <w:tc>
          <w:tcPr>
            <w:tcW w:w="7308" w:type="dxa"/>
            <w:tcBorders/>
          </w:tcPr>
          <w:p>
            <w:pPr>
              <w:pStyle w:val="Normal"/>
              <w:widowControl/>
              <w:spacing w:before="0" w:after="240"/>
              <w:jc w:val="both"/>
              <w:rPr>
                <w:sz w:val="24"/>
                <w:szCs w:val="24"/>
              </w:rPr>
            </w:pPr>
            <w:r>
              <w:rPr>
                <w:sz w:val="24"/>
                <w:szCs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 xml:space="preserve">Organization and Good Standing; </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 xml:space="preserve">Qualification; </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Authorization;</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Enforceability;</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Litigation;</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Consents; and</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Compliance with Laws.</w:t>
            </w:r>
          </w:p>
          <w:p>
            <w:pPr>
              <w:pStyle w:val="Normal"/>
              <w:widowControl/>
              <w:jc w:val="both"/>
              <w:rPr>
                <w:sz w:val="24"/>
                <w:szCs w:val="24"/>
              </w:rPr>
            </w:pPr>
            <w:r>
              <w:rPr>
                <w:sz w:val="24"/>
                <w:szCs w:val="24"/>
              </w:rPr>
              <w:t>Materiality and knowledge standards will qualify the representations and warranties made by Seller and Buyer, where appropriate.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Expansion Vote:</w:t>
            </w:r>
          </w:p>
        </w:tc>
        <w:tc>
          <w:tcPr>
            <w:tcW w:w="7308" w:type="dxa"/>
            <w:tcBorders/>
          </w:tcPr>
          <w:p>
            <w:pPr>
              <w:pStyle w:val="Normal"/>
              <w:widowControl/>
              <w:jc w:val="both"/>
              <w:rPr>
                <w:sz w:val="24"/>
                <w:szCs w:val="24"/>
              </w:rPr>
            </w:pPr>
            <w:r>
              <w:rPr>
                <w:sz w:val="24"/>
                <w:szCs w:val="24"/>
              </w:rPr>
              <w:t>Seller shall cause ECT Powder River, L.L.C. to vote in favor of the expansion of the existing gathering system of Fort Union.</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Access and Due</w:t>
            </w:r>
          </w:p>
          <w:p>
            <w:pPr>
              <w:pStyle w:val="Normal"/>
              <w:widowControl/>
              <w:jc w:val="both"/>
              <w:rPr>
                <w:b/>
                <w:bCs/>
                <w:sz w:val="24"/>
                <w:szCs w:val="24"/>
              </w:rPr>
            </w:pPr>
            <w:r>
              <w:rPr>
                <w:b/>
                <w:bCs/>
                <w:sz w:val="24"/>
                <w:szCs w:val="24"/>
              </w:rPr>
              <w:t>Diligence:</w:t>
            </w:r>
          </w:p>
        </w:tc>
        <w:tc>
          <w:tcPr>
            <w:tcW w:w="7308" w:type="dxa"/>
            <w:tcBorders/>
          </w:tcPr>
          <w:p>
            <w:pPr>
              <w:pStyle w:val="Normal"/>
              <w:widowControl/>
              <w:jc w:val="both"/>
              <w:rPr>
                <w:sz w:val="24"/>
                <w:szCs w:val="24"/>
              </w:rPr>
            </w:pPr>
            <w:r>
              <w:rPr>
                <w:sz w:val="24"/>
                <w:szCs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Assumption of Certain Obligations:</w:t>
            </w:r>
          </w:p>
        </w:tc>
        <w:tc>
          <w:tcPr>
            <w:tcW w:w="7308" w:type="dxa"/>
            <w:tcBorders/>
          </w:tcPr>
          <w:p>
            <w:pPr>
              <w:pStyle w:val="Normal"/>
              <w:widowControl/>
              <w:ind w:hanging="18" w:end="0"/>
              <w:jc w:val="both"/>
              <w:rPr/>
            </w:pPr>
            <w:r>
              <w:rPr>
                <w:sz w:val="24"/>
                <w:szCs w:val="24"/>
              </w:rPr>
              <w:t>The Purchase Agreement will provide that Buyer shall take assignment of, and shall assume Seller’s obligations under, (i)</w:t>
            </w:r>
            <w:r>
              <w:rPr/>
              <w:t> </w:t>
            </w:r>
            <w:r>
              <w:rPr>
                <w:sz w:val="24"/>
                <w:szCs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 xml:space="preserve">Buyer’s obligation to purchase the Transferred Membership Interests will be subject to the satisfaction of </w:t>
            </w:r>
            <w:r>
              <w:rPr>
                <w:strike/>
              </w:rPr>
              <w:t>the following</w:t>
            </w:r>
            <w:r>
              <w:rPr/>
              <w:t xml:space="preserve"> </w:t>
            </w:r>
            <w:r>
              <w:rPr>
                <w:u w:val="single"/>
              </w:rPr>
              <w:t>certain</w:t>
            </w:r>
            <w:r>
              <w:rPr/>
              <w:t xml:space="preserve"> conditions on or prior to the Closing Date</w:t>
            </w:r>
            <w:r>
              <w:rPr>
                <w:u w:val="single"/>
              </w:rPr>
              <w:t>, including, without limitation, the following conditions</w:t>
            </w:r>
            <w:r>
              <w:rPr/>
              <w:t>:</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EMS Gathering Agreement and all other closing documents have been properly executed and delivered by Seller (or its affiliates);</w:t>
            </w:r>
          </w:p>
          <w:p>
            <w:pPr>
              <w:pStyle w:val="Normal"/>
              <w:widowControl/>
              <w:tabs>
                <w:tab w:val="clear" w:pos="720"/>
                <w:tab w:val="left" w:pos="1332" w:leader="none"/>
              </w:tabs>
              <w:spacing w:before="0" w:after="240"/>
              <w:ind w:hanging="720" w:start="1339" w:end="0"/>
              <w:jc w:val="both"/>
              <w:rPr/>
            </w:pPr>
            <w:r>
              <w:rPr>
                <w:sz w:val="24"/>
                <w:szCs w:val="24"/>
              </w:rPr>
              <w:t>(iii)</w:t>
              <w:tab/>
              <w:t>all consents required to transfer the Transferred Membership Interests to Buyer have been obtained by Seller or waived</w:t>
            </w:r>
            <w:r>
              <w:rPr>
                <w:sz w:val="24"/>
                <w:szCs w:val="24"/>
                <w:u w:val="single"/>
              </w:rPr>
              <w:t>, including expiration or early termination of the waiting periods under the Hart-Scott-Rodino Antitrust Improvements Act of 1976</w:t>
            </w:r>
            <w:r>
              <w:rPr>
                <w:sz w:val="24"/>
                <w:szCs w:val="24"/>
              </w:rPr>
              <w:t xml:space="preserve">;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 xml:space="preserve">no action, suit, or proceeding is pending or threatened before any governmental body seeking to restrain or delay the closing; </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 xml:space="preserve">Seller shall have caused Lost Creek and Fort Union to each make an election under Section 754 of the Internal Revenue Code [These elections appear to have been made.  Please confirm.]; </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 xml:space="preserve">Seller shall have caused ECT Powder River, L.L.C. to vote in favor of the expansion of the existing gathering system of Fort Union; </w:t>
            </w:r>
          </w:p>
          <w:p>
            <w:pPr>
              <w:pStyle w:val="Normal"/>
              <w:widowControl/>
              <w:tabs>
                <w:tab w:val="clear" w:pos="720"/>
                <w:tab w:val="left" w:pos="1332" w:leader="none"/>
              </w:tabs>
              <w:spacing w:before="0" w:after="240"/>
              <w:ind w:hanging="720" w:start="1339" w:end="0"/>
              <w:jc w:val="both"/>
              <w:rPr/>
            </w:pPr>
            <w:r>
              <w:rPr>
                <w:sz w:val="24"/>
                <w:szCs w:val="24"/>
              </w:rPr>
              <w:t>(vii)</w:t>
              <w:tab/>
              <w:t xml:space="preserve">Buyer shall have completed its due diligence review of the Transferred Entities and the results of that review shall be reasonably satisfactory to Buyer; </w:t>
            </w:r>
            <w:r>
              <w:rPr>
                <w:strike/>
                <w:sz w:val="24"/>
                <w:szCs w:val="24"/>
              </w:rPr>
              <w:t xml:space="preserve"> and</w:t>
            </w:r>
          </w:p>
          <w:p>
            <w:pPr>
              <w:pStyle w:val="Normal"/>
              <w:widowControl/>
              <w:tabs>
                <w:tab w:val="clear" w:pos="720"/>
                <w:tab w:val="left" w:pos="1332" w:leader="none"/>
              </w:tabs>
              <w:spacing w:before="0" w:after="240"/>
              <w:ind w:hanging="720" w:start="1339" w:end="0"/>
              <w:jc w:val="both"/>
              <w:rPr>
                <w:strike/>
                <w:sz w:val="24"/>
                <w:szCs w:val="24"/>
              </w:rPr>
            </w:pPr>
            <w:r>
              <w:rPr>
                <w:strike/>
                <w:sz w:val="24"/>
                <w:szCs w:val="24"/>
              </w:rPr>
            </w:r>
          </w:p>
          <w:p>
            <w:pPr>
              <w:pStyle w:val="Normal"/>
              <w:widowControl/>
              <w:tabs>
                <w:tab w:val="clear" w:pos="720"/>
                <w:tab w:val="left" w:pos="1332" w:leader="none"/>
              </w:tabs>
              <w:spacing w:before="0" w:after="240"/>
              <w:ind w:hanging="720" w:start="1339" w:end="0"/>
              <w:jc w:val="both"/>
              <w:rPr/>
            </w:pPr>
            <w:r>
              <w:rPr>
                <w:sz w:val="24"/>
                <w:szCs w:val="24"/>
              </w:rPr>
              <w:t>(viii)</w:t>
              <w:tab/>
              <w:t xml:space="preserve">Buyer shall have received </w:t>
            </w:r>
            <w:r>
              <w:rPr>
                <w:strike/>
                <w:sz w:val="24"/>
                <w:szCs w:val="24"/>
              </w:rPr>
              <w:t>a fairness opinion</w:t>
            </w:r>
            <w:r>
              <w:rPr>
                <w:sz w:val="24"/>
                <w:szCs w:val="24"/>
              </w:rPr>
              <w:t xml:space="preserve"> </w:t>
            </w:r>
            <w:r>
              <w:rPr>
                <w:sz w:val="24"/>
                <w:szCs w:val="24"/>
                <w:u w:val="single"/>
              </w:rPr>
              <w:t>the special approval</w:t>
            </w:r>
            <w:r>
              <w:rPr>
                <w:sz w:val="24"/>
                <w:szCs w:val="24"/>
              </w:rPr>
              <w:t xml:space="preserve"> from the audit committee of Buyer to the effect that, as of the date of such </w:t>
            </w:r>
            <w:r>
              <w:rPr>
                <w:strike/>
                <w:sz w:val="24"/>
                <w:szCs w:val="24"/>
              </w:rPr>
              <w:t>opinion</w:t>
            </w:r>
            <w:r>
              <w:rPr>
                <w:sz w:val="24"/>
                <w:szCs w:val="24"/>
              </w:rPr>
              <w:t xml:space="preserve"> </w:t>
            </w:r>
            <w:r>
              <w:rPr>
                <w:sz w:val="24"/>
                <w:szCs w:val="24"/>
                <w:u w:val="single"/>
              </w:rPr>
              <w:t>approval</w:t>
            </w:r>
            <w:r>
              <w:rPr>
                <w:sz w:val="24"/>
                <w:szCs w:val="24"/>
              </w:rPr>
              <w:t>, the transactions contemplated by the Purchase Agreement are fair</w:t>
            </w:r>
            <w:r>
              <w:rPr>
                <w:strike/>
                <w:sz w:val="24"/>
                <w:szCs w:val="24"/>
              </w:rPr>
              <w:t>, from a financial point of view, to Buyer</w:t>
            </w:r>
            <w:r>
              <w:rPr>
                <w:sz w:val="24"/>
                <w:szCs w:val="24"/>
              </w:rPr>
              <w:t xml:space="preserve"> </w:t>
            </w:r>
            <w:r>
              <w:rPr>
                <w:sz w:val="24"/>
                <w:szCs w:val="24"/>
                <w:u w:val="single"/>
              </w:rPr>
              <w:t>and reasonable to Buyer; and</w:t>
            </w:r>
          </w:p>
          <w:p>
            <w:pPr>
              <w:pStyle w:val="Normal"/>
              <w:widowControl/>
              <w:tabs>
                <w:tab w:val="clear" w:pos="720"/>
                <w:tab w:val="left" w:pos="1332" w:leader="none"/>
              </w:tabs>
              <w:ind w:hanging="720" w:start="1339" w:end="0"/>
              <w:jc w:val="both"/>
              <w:rPr/>
            </w:pPr>
            <w:r>
              <w:rPr>
                <w:sz w:val="24"/>
                <w:szCs w:val="24"/>
                <w:u w:val="single"/>
              </w:rPr>
              <w:t>(ix)</w:t>
            </w:r>
            <w:r>
              <w:rPr>
                <w:sz w:val="24"/>
                <w:szCs w:val="24"/>
              </w:rPr>
              <w:tab/>
            </w:r>
            <w:r>
              <w:rPr>
                <w:sz w:val="24"/>
                <w:szCs w:val="24"/>
                <w:u w:val="single"/>
              </w:rPr>
              <w:t xml:space="preserve">Buyer shall have received from its lenders approval of or consent to the execution of the Note on the terms shown in </w:t>
            </w:r>
            <w:r>
              <w:rPr>
                <w:i/>
                <w:iCs/>
                <w:sz w:val="24"/>
                <w:szCs w:val="24"/>
                <w:u w:val="single"/>
              </w:rPr>
              <w:t>Attachment 2</w:t>
            </w:r>
            <w:r>
              <w:rPr>
                <w:sz w:val="24"/>
                <w:szCs w:val="24"/>
              </w:rPr>
              <w:t xml:space="preserve">.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Seller’s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 xml:space="preserve">Seller’s obligation to sell the Transferred Membership Interests will be subject to the satisfaction of </w:t>
            </w:r>
            <w:r>
              <w:rPr>
                <w:strike/>
              </w:rPr>
              <w:t>the following</w:t>
            </w:r>
            <w:r>
              <w:rPr/>
              <w:t xml:space="preserve"> </w:t>
            </w:r>
            <w:r>
              <w:rPr>
                <w:u w:val="single"/>
              </w:rPr>
              <w:t>certain</w:t>
            </w:r>
            <w:r>
              <w:rPr/>
              <w:t xml:space="preserve"> conditions on or prior to the Closing Date </w:t>
            </w:r>
            <w:r>
              <w:rPr>
                <w:u w:val="single"/>
              </w:rPr>
              <w:t>including, without limitation, the following conditions</w:t>
            </w:r>
            <w:r>
              <w:rPr/>
              <w:t>:</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Management Agreement and the EMS Gathering Agreement and all other closing documents have been properly executed and delivered by Buyer;</w:t>
            </w:r>
          </w:p>
          <w:p>
            <w:pPr>
              <w:pStyle w:val="Normal"/>
              <w:widowControl/>
              <w:tabs>
                <w:tab w:val="clear" w:pos="720"/>
                <w:tab w:val="left" w:pos="1332" w:leader="none"/>
              </w:tabs>
              <w:spacing w:before="0" w:after="240"/>
              <w:ind w:hanging="720" w:start="1339" w:end="0"/>
              <w:jc w:val="both"/>
              <w:rPr/>
            </w:pPr>
            <w:r>
              <w:rPr>
                <w:sz w:val="24"/>
                <w:szCs w:val="24"/>
              </w:rPr>
              <w:t>(iii)</w:t>
              <w:tab/>
              <w:t>all consents required to transfer the Transferred Membership Interests to Buyer have been obtained by Seller or waived</w:t>
            </w:r>
            <w:r>
              <w:rPr>
                <w:sz w:val="24"/>
                <w:szCs w:val="24"/>
                <w:u w:val="single"/>
              </w:rPr>
              <w:t>, including expiration or early termination of the waiting periods under the Hart-Scott-Rodino Antitrust Improvements Act of 1976</w:t>
            </w:r>
            <w:r>
              <w:rPr>
                <w:sz w:val="24"/>
                <w:szCs w:val="24"/>
              </w:rPr>
              <w:t xml:space="preserve">;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no action, suit, or proceeding is pending or threatened before any governmental body seeking to restrain or delay the closing;</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the counterparties to the Firm Gathering Agreements and the NCO Agreements shall have released Seller from its obligations arising under such agreements from and after the Closing Date; and</w:t>
            </w:r>
          </w:p>
          <w:p>
            <w:pPr>
              <w:pStyle w:val="Normal"/>
              <w:widowControl/>
              <w:tabs>
                <w:tab w:val="clear" w:pos="720"/>
                <w:tab w:val="left" w:pos="1332" w:leader="none"/>
              </w:tabs>
              <w:ind w:hanging="720" w:start="1339" w:end="0"/>
              <w:jc w:val="both"/>
              <w:rPr>
                <w:sz w:val="24"/>
                <w:szCs w:val="24"/>
              </w:rPr>
            </w:pPr>
            <w:r>
              <w:rPr>
                <w:sz w:val="24"/>
                <w:szCs w:val="24"/>
              </w:rPr>
              <w:t>(vi)</w:t>
              <w:tab/>
              <w:t>Buyer shall have provided satisfactory substitute credit support for any credit support now provided by Seller or any of its affiliates in respect of the Transferred Entities or the Firm Gathering Agreements.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Closing:</w:t>
            </w:r>
          </w:p>
        </w:tc>
        <w:tc>
          <w:tcPr>
            <w:tcW w:w="7308" w:type="dxa"/>
            <w:tcBorders/>
          </w:tcPr>
          <w:p>
            <w:pPr>
              <w:pStyle w:val="Normal"/>
              <w:widowControl/>
              <w:jc w:val="both"/>
              <w:rPr>
                <w:sz w:val="24"/>
                <w:szCs w:val="24"/>
              </w:rPr>
            </w:pPr>
            <w:r>
              <w:rPr>
                <w:sz w:val="24"/>
                <w:szCs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Employee Matters:</w:t>
            </w:r>
          </w:p>
        </w:tc>
        <w:tc>
          <w:tcPr>
            <w:tcW w:w="7308" w:type="dxa"/>
            <w:tcBorders/>
          </w:tcPr>
          <w:p>
            <w:pPr>
              <w:pStyle w:val="Normal"/>
              <w:widowControl/>
              <w:spacing w:before="0" w:after="240"/>
              <w:jc w:val="both"/>
              <w:rPr/>
            </w:pPr>
            <w:r>
              <w:rPr>
                <w:i/>
                <w:iCs/>
                <w:sz w:val="24"/>
                <w:szCs w:val="24"/>
              </w:rPr>
              <w:t xml:space="preserve">Management Company.  </w:t>
            </w:r>
            <w:r>
              <w:rPr>
                <w:sz w:val="24"/>
                <w:szCs w:val="24"/>
              </w:rPr>
              <w:t xml:space="preserve">Buyer shall enter into a no profit or loss “Management Agreement” with the Management Company with an agreed upon budget reflecting the organization shown in the initial organization chart attached as </w:t>
            </w:r>
            <w:r>
              <w:rPr>
                <w:i/>
                <w:iCs/>
                <w:sz w:val="24"/>
                <w:szCs w:val="24"/>
              </w:rPr>
              <w:t>Attachment 3</w:t>
            </w:r>
            <w:r>
              <w:rPr>
                <w:sz w:val="24"/>
                <w:szCs w:val="24"/>
              </w:rPr>
              <w:t>, a term of five (5) years, and such other terms and conditions that the Management Company and Buyer may agree to.</w:t>
            </w:r>
          </w:p>
          <w:p>
            <w:pPr>
              <w:pStyle w:val="Normal"/>
              <w:widowControl/>
              <w:spacing w:before="0" w:after="240"/>
              <w:jc w:val="both"/>
              <w:rPr/>
            </w:pPr>
            <w:r>
              <w:rPr>
                <w:i/>
                <w:iCs/>
                <w:sz w:val="24"/>
                <w:szCs w:val="24"/>
              </w:rPr>
              <w:t>Employment</w:t>
            </w:r>
            <w:r>
              <w:rPr>
                <w:sz w:val="24"/>
                <w:szCs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widowControl/>
              <w:spacing w:before="0" w:after="240"/>
              <w:jc w:val="both"/>
              <w:rPr/>
            </w:pPr>
            <w:r>
              <w:rPr>
                <w:i/>
                <w:iCs/>
                <w:sz w:val="24"/>
                <w:szCs w:val="24"/>
              </w:rPr>
              <w:t>Employee Benefit Plans</w:t>
            </w:r>
            <w:r>
              <w:rPr>
                <w:sz w:val="24"/>
                <w:szCs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widowControl/>
              <w:spacing w:before="0" w:after="240"/>
              <w:jc w:val="both"/>
              <w:rPr/>
            </w:pPr>
            <w:r>
              <w:rPr>
                <w:i/>
                <w:iCs/>
                <w:sz w:val="24"/>
                <w:szCs w:val="24"/>
              </w:rPr>
              <w:t>Organization Chart</w:t>
            </w:r>
            <w:r>
              <w:rPr>
                <w:sz w:val="24"/>
                <w:szCs w:val="24"/>
              </w:rPr>
              <w:t xml:space="preserve">.  The initial organization chart for the Management Company is attached as </w:t>
            </w:r>
            <w:r>
              <w:rPr>
                <w:i/>
                <w:iCs/>
                <w:sz w:val="24"/>
                <w:szCs w:val="24"/>
              </w:rPr>
              <w:t>Attachment 3</w:t>
            </w:r>
            <w:r>
              <w:rPr>
                <w:sz w:val="24"/>
                <w:szCs w:val="24"/>
              </w:rPr>
              <w:t xml:space="preserve">.  </w:t>
            </w:r>
          </w:p>
          <w:p>
            <w:pPr>
              <w:pStyle w:val="Normal"/>
              <w:widowControl/>
              <w:jc w:val="both"/>
              <w:rPr/>
            </w:pPr>
            <w:r>
              <w:rPr>
                <w:i/>
                <w:iCs/>
                <w:sz w:val="24"/>
                <w:szCs w:val="24"/>
              </w:rPr>
              <w:t>Incentive Structure</w:t>
            </w:r>
            <w:r>
              <w:rPr>
                <w:sz w:val="24"/>
                <w:szCs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widowControl/>
              <w:spacing w:before="0" w:after="240"/>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Indemnification:</w:t>
            </w:r>
          </w:p>
        </w:tc>
        <w:tc>
          <w:tcPr>
            <w:tcW w:w="7308" w:type="dxa"/>
            <w:tcBorders/>
          </w:tcPr>
          <w:p>
            <w:pPr>
              <w:pStyle w:val="Normal"/>
              <w:widowControl/>
              <w:spacing w:before="0" w:after="240"/>
              <w:jc w:val="both"/>
              <w:rPr/>
            </w:pPr>
            <w:r>
              <w:rPr>
                <w:i/>
                <w:iCs/>
                <w:sz w:val="24"/>
                <w:szCs w:val="24"/>
              </w:rPr>
              <w:t>Seller Indemnity</w:t>
            </w:r>
            <w:r>
              <w:rPr>
                <w:sz w:val="24"/>
                <w:szCs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widowControl/>
              <w:spacing w:before="0" w:after="240"/>
              <w:jc w:val="both"/>
              <w:rPr/>
            </w:pPr>
            <w:r>
              <w:rPr>
                <w:i/>
                <w:iCs/>
                <w:sz w:val="24"/>
                <w:szCs w:val="24"/>
              </w:rPr>
              <w:t>Buyer Indemnity</w:t>
            </w:r>
            <w:r>
              <w:rPr>
                <w:sz w:val="24"/>
                <w:szCs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widowControl/>
              <w:spacing w:before="0" w:after="240"/>
              <w:jc w:val="both"/>
              <w:rPr/>
            </w:pPr>
            <w:r>
              <w:rPr>
                <w:i/>
                <w:iCs/>
                <w:sz w:val="24"/>
                <w:szCs w:val="24"/>
              </w:rPr>
              <w:t>Limitation on Seller’s Liability</w:t>
            </w:r>
            <w:r>
              <w:rPr>
                <w:sz w:val="24"/>
                <w:szCs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widowControl/>
              <w:spacing w:before="0" w:after="240"/>
              <w:jc w:val="both"/>
              <w:rPr/>
            </w:pPr>
            <w:r>
              <w:rPr>
                <w:i/>
                <w:iCs/>
                <w:sz w:val="24"/>
                <w:szCs w:val="24"/>
              </w:rPr>
              <w:t>Time Limitation</w:t>
            </w:r>
            <w:r>
              <w:rPr>
                <w:sz w:val="24"/>
                <w:szCs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widowControl/>
              <w:jc w:val="both"/>
              <w:rPr/>
            </w:pPr>
            <w:r>
              <w:rPr>
                <w:i/>
                <w:iCs/>
                <w:sz w:val="24"/>
                <w:szCs w:val="24"/>
              </w:rPr>
              <w:t>Disclaimers</w:t>
            </w:r>
            <w:r>
              <w:rPr>
                <w:sz w:val="24"/>
                <w:szCs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 Credit Support:</w:t>
            </w:r>
          </w:p>
        </w:tc>
        <w:tc>
          <w:tcPr>
            <w:tcW w:w="7308" w:type="dxa"/>
            <w:tcBorders/>
          </w:tcPr>
          <w:p>
            <w:pPr>
              <w:pStyle w:val="Normal"/>
              <w:widowControl/>
              <w:jc w:val="both"/>
              <w:rPr>
                <w:sz w:val="24"/>
                <w:szCs w:val="24"/>
              </w:rPr>
            </w:pPr>
            <w:r>
              <w:rPr>
                <w:sz w:val="24"/>
                <w:szCs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Participation Rights:</w:t>
            </w:r>
          </w:p>
        </w:tc>
        <w:tc>
          <w:tcPr>
            <w:tcW w:w="7308" w:type="dxa"/>
            <w:tcBorders/>
          </w:tcPr>
          <w:p>
            <w:pPr>
              <w:pStyle w:val="Normal"/>
              <w:widowControl/>
              <w:jc w:val="both"/>
              <w:rPr/>
            </w:pPr>
            <w:r>
              <w:rPr>
                <w:i/>
                <w:iCs/>
                <w:sz w:val="24"/>
                <w:szCs w:val="24"/>
              </w:rPr>
              <w:t xml:space="preserve">Specified Geographical Area.  </w:t>
            </w:r>
            <w:r>
              <w:rPr>
                <w:sz w:val="24"/>
                <w:szCs w:val="24"/>
              </w:rPr>
              <w:t xml:space="preserve">The Purchase Agreement will include provisions granting Buyer and Seller certain participation rights in the Specified Geographical Area.  “Specified Geographical Area” means the geographical area described in </w:t>
            </w:r>
            <w:r>
              <w:rPr>
                <w:i/>
                <w:iCs/>
                <w:sz w:val="24"/>
                <w:szCs w:val="24"/>
              </w:rPr>
              <w:t>Attachment 4</w:t>
            </w:r>
            <w:r>
              <w:rPr>
                <w:sz w:val="24"/>
                <w:szCs w:val="24"/>
              </w:rPr>
              <w:t xml:space="preserve">. </w:t>
            </w:r>
          </w:p>
          <w:p>
            <w:pPr>
              <w:pStyle w:val="Normal"/>
              <w:widowControl/>
              <w:jc w:val="both"/>
              <w:rPr>
                <w:sz w:val="24"/>
                <w:szCs w:val="24"/>
              </w:rPr>
            </w:pPr>
            <w:r>
              <w:rPr>
                <w:sz w:val="24"/>
                <w:szCs w:val="24"/>
              </w:rPr>
            </w:r>
          </w:p>
          <w:p>
            <w:pPr>
              <w:pStyle w:val="Normal"/>
              <w:widowControl/>
              <w:jc w:val="both"/>
              <w:rPr/>
            </w:pPr>
            <w:r>
              <w:rPr>
                <w:i/>
                <w:iCs/>
                <w:sz w:val="24"/>
                <w:szCs w:val="24"/>
              </w:rPr>
              <w:t>Buyer’s Rights</w:t>
            </w:r>
            <w:r>
              <w:rPr>
                <w:sz w:val="24"/>
                <w:szCs w:val="24"/>
              </w:rPr>
              <w:t xml:space="preserve">.  If Seller or any of its wholly-owned subsidiaries  proposes to develop or acquire an interest in, directly or indirectly, a </w:t>
            </w:r>
            <w:r>
              <w:rPr>
                <w:strike/>
                <w:sz w:val="24"/>
                <w:szCs w:val="24"/>
              </w:rPr>
              <w:t>non federally regulated</w:t>
            </w:r>
            <w:r>
              <w:rPr>
                <w:sz w:val="24"/>
                <w:szCs w:val="24"/>
              </w:rPr>
              <w:t xml:space="preserve"> </w:t>
            </w:r>
            <w:r>
              <w:rPr>
                <w:sz w:val="24"/>
                <w:szCs w:val="24"/>
                <w:u w:val="single"/>
              </w:rPr>
              <w:t>natural</w:t>
            </w:r>
            <w:r>
              <w:rPr>
                <w:sz w:val="24"/>
                <w:szCs w:val="24"/>
              </w:rPr>
              <w:t xml:space="preserve"> gas gathering system</w:t>
            </w:r>
            <w:r>
              <w:rPr>
                <w:sz w:val="24"/>
                <w:szCs w:val="24"/>
                <w:u w:val="single"/>
              </w:rPr>
              <w:t>, transportation pipeline, or transmission system all or part of which is located</w:t>
            </w:r>
            <w:r>
              <w:rPr>
                <w:sz w:val="24"/>
                <w:szCs w:val="24"/>
              </w:rPr>
              <w:t xml:space="preserve"> in the Specified Geographical Area</w:t>
            </w:r>
            <w:r>
              <w:rPr>
                <w:strike/>
                <w:sz w:val="24"/>
                <w:szCs w:val="24"/>
              </w:rPr>
              <w:t>(</w:t>
            </w:r>
            <w:r>
              <w:rPr>
                <w:sz w:val="24"/>
                <w:szCs w:val="24"/>
                <w:u w:val="single"/>
              </w:rPr>
              <w:t>, other than (i) sales or distribution pipelines or systems connecting to end users, (ii) any gas transportation pipeline or transmission system in the I-80 corridor, and (iii) the Wildhorse Wind River Gathering System (each a</w:t>
            </w:r>
            <w:r>
              <w:rPr>
                <w:sz w:val="24"/>
                <w:szCs w:val="24"/>
              </w:rPr>
              <w:t xml:space="preserve">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widowControl/>
              <w:jc w:val="both"/>
              <w:rPr>
                <w:sz w:val="24"/>
                <w:szCs w:val="24"/>
              </w:rPr>
            </w:pPr>
            <w:r>
              <w:rPr>
                <w:sz w:val="24"/>
                <w:szCs w:val="24"/>
              </w:rPr>
            </w:r>
          </w:p>
          <w:p>
            <w:pPr>
              <w:pStyle w:val="Normal"/>
              <w:widowControl/>
              <w:jc w:val="both"/>
              <w:rPr/>
            </w:pPr>
            <w:r>
              <w:rPr>
                <w:i/>
                <w:iCs/>
                <w:sz w:val="24"/>
                <w:szCs w:val="24"/>
              </w:rPr>
              <w:t>Seller’s Rights</w:t>
            </w:r>
            <w:r>
              <w:rPr>
                <w:sz w:val="24"/>
                <w:szCs w:val="24"/>
              </w:rPr>
              <w:t xml:space="preserve">.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w:t>
            </w:r>
            <w:r>
              <w:rPr>
                <w:sz w:val="24"/>
                <w:szCs w:val="24"/>
                <w:u w:val="single"/>
              </w:rPr>
              <w:t>or transportation</w:t>
            </w:r>
            <w:r>
              <w:rPr>
                <w:sz w:val="24"/>
                <w:szCs w:val="24"/>
              </w:rPr>
              <w:t xml:space="preserve">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widowControl/>
              <w:jc w:val="both"/>
              <w:rPr>
                <w:sz w:val="24"/>
                <w:szCs w:val="24"/>
              </w:rPr>
            </w:pPr>
            <w:r>
              <w:rPr>
                <w:sz w:val="24"/>
                <w:szCs w:val="24"/>
              </w:rPr>
            </w:r>
          </w:p>
          <w:p>
            <w:pPr>
              <w:pStyle w:val="Normal"/>
              <w:widowControl/>
              <w:jc w:val="both"/>
              <w:rPr/>
            </w:pPr>
            <w:r>
              <w:rPr>
                <w:i/>
                <w:iCs/>
                <w:sz w:val="24"/>
                <w:szCs w:val="24"/>
              </w:rPr>
              <w:t>Term</w:t>
            </w:r>
            <w:r>
              <w:rPr>
                <w:sz w:val="24"/>
                <w:szCs w:val="24"/>
              </w:rPr>
              <w:t xml:space="preserve">.  The participation rights created hereunder shall terminate on the last day of the 60th month following the Closing Date.  </w:t>
            </w:r>
          </w:p>
          <w:p>
            <w:pPr>
              <w:pStyle w:val="Normal"/>
              <w:widowControl/>
              <w:jc w:val="both"/>
              <w:rPr>
                <w:sz w:val="24"/>
                <w:szCs w:val="24"/>
              </w:rPr>
            </w:pPr>
            <w:r>
              <w:rPr>
                <w:sz w:val="24"/>
                <w:szCs w:val="24"/>
              </w:rPr>
            </w:r>
          </w:p>
          <w:p>
            <w:pPr>
              <w:pStyle w:val="Normal"/>
              <w:widowControl/>
              <w:jc w:val="both"/>
              <w:rPr/>
            </w:pPr>
            <w:r>
              <w:rPr>
                <w:i/>
                <w:iCs/>
                <w:sz w:val="24"/>
                <w:szCs w:val="24"/>
              </w:rPr>
              <w:t>Certain Proprietary Rights.</w:t>
            </w:r>
            <w:r>
              <w:rPr>
                <w:sz w:val="24"/>
                <w:szCs w:val="24"/>
              </w:rPr>
              <w:t xml:space="preserve">  The proprietary rights to gas gathering transactions under development by Seller in the Specified Geographical Area will be assigned to Buyer.  </w:t>
            </w:r>
            <w:r>
              <w:rPr>
                <w:strike/>
                <w:sz w:val="24"/>
                <w:szCs w:val="24"/>
              </w:rPr>
              <w:t>Except for the joint participation in the Petro-Source transaction and as otherwise agreed to by Buyer and Seller, the proprietary rights to all</w:t>
            </w:r>
            <w:r>
              <w:rPr>
                <w:sz w:val="24"/>
                <w:szCs w:val="24"/>
              </w:rPr>
              <w:t xml:space="preserve"> </w:t>
            </w:r>
            <w:r>
              <w:rPr>
                <w:sz w:val="24"/>
                <w:szCs w:val="24"/>
                <w:u w:val="single"/>
              </w:rPr>
              <w:t>The Purchase Agreement will include an exhibit listing</w:t>
            </w:r>
            <w:r>
              <w:rPr>
                <w:sz w:val="24"/>
                <w:szCs w:val="24"/>
              </w:rPr>
              <w:t xml:space="preserve"> other transactions either pending or under development by Seller, including those being developed by the Transferred Employees, </w:t>
            </w:r>
            <w:r>
              <w:rPr>
                <w:strike/>
                <w:sz w:val="24"/>
                <w:szCs w:val="24"/>
              </w:rPr>
              <w:t>shall remain the property of</w:t>
            </w:r>
            <w:r>
              <w:rPr>
                <w:sz w:val="24"/>
                <w:szCs w:val="24"/>
              </w:rPr>
              <w:t xml:space="preserve"> </w:t>
            </w:r>
            <w:r>
              <w:rPr>
                <w:sz w:val="24"/>
                <w:szCs w:val="24"/>
                <w:u w:val="single"/>
              </w:rPr>
              <w:t>in the Specified Geographical Area.  The proprietary rights to the listed transactions shall remain with</w:t>
            </w:r>
            <w:r>
              <w:rPr>
                <w:sz w:val="24"/>
                <w:szCs w:val="24"/>
              </w:rPr>
              <w:t xml:space="preserve"> Seller.</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Related Agreement:</w:t>
            </w:r>
          </w:p>
        </w:tc>
        <w:tc>
          <w:tcPr>
            <w:tcW w:w="7308" w:type="dxa"/>
            <w:tcBorders/>
          </w:tcPr>
          <w:p>
            <w:pPr>
              <w:pStyle w:val="BodyText"/>
              <w:widowControl/>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widowControl/>
              <w:ind w:firstLine="18" w:start="-18" w:end="0"/>
              <w:jc w:val="both"/>
              <w:rPr>
                <w:i/>
                <w:i/>
                <w:iCs/>
                <w:sz w:val="24"/>
                <w:szCs w:val="24"/>
              </w:rPr>
            </w:pPr>
            <w:r>
              <w:rPr>
                <w:i/>
                <w:iCs/>
                <w:sz w:val="24"/>
                <w:szCs w:val="24"/>
              </w:rPr>
            </w:r>
          </w:p>
        </w:tc>
      </w:tr>
      <w:tr>
        <w:trPr/>
        <w:tc>
          <w:tcPr>
            <w:tcW w:w="2268" w:type="dxa"/>
            <w:tcBorders/>
          </w:tcPr>
          <w:p>
            <w:pPr>
              <w:pStyle w:val="Normal"/>
              <w:widowControl/>
              <w:rPr>
                <w:b/>
                <w:bCs/>
                <w:sz w:val="24"/>
                <w:szCs w:val="24"/>
              </w:rPr>
            </w:pPr>
            <w:r>
              <w:rPr>
                <w:b/>
                <w:bCs/>
                <w:sz w:val="24"/>
                <w:szCs w:val="24"/>
              </w:rPr>
              <w:t>Expenses:</w:t>
            </w:r>
          </w:p>
        </w:tc>
        <w:tc>
          <w:tcPr>
            <w:tcW w:w="7308" w:type="dxa"/>
            <w:tcBorders/>
          </w:tcPr>
          <w:p>
            <w:pPr>
              <w:pStyle w:val="BodyText"/>
              <w:widowControl/>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widowControl/>
              <w:rPr/>
            </w:pPr>
            <w:r>
              <w:rPr/>
            </w:r>
          </w:p>
        </w:tc>
      </w:tr>
      <w:tr>
        <w:trPr/>
        <w:tc>
          <w:tcPr>
            <w:tcW w:w="2268" w:type="dxa"/>
            <w:tcBorders/>
          </w:tcPr>
          <w:p>
            <w:pPr>
              <w:pStyle w:val="Normal"/>
              <w:widowControl/>
              <w:rPr>
                <w:b/>
                <w:bCs/>
                <w:sz w:val="24"/>
                <w:szCs w:val="24"/>
              </w:rPr>
            </w:pPr>
            <w:r>
              <w:rPr>
                <w:b/>
                <w:bCs/>
                <w:sz w:val="24"/>
                <w:szCs w:val="24"/>
              </w:rPr>
              <w:t>Choice of Law:</w:t>
            </w:r>
          </w:p>
        </w:tc>
        <w:tc>
          <w:tcPr>
            <w:tcW w:w="7308" w:type="dxa"/>
            <w:tcBorders/>
          </w:tcPr>
          <w:p>
            <w:pPr>
              <w:pStyle w:val="BodyText"/>
              <w:widowControl/>
              <w:rPr/>
            </w:pPr>
            <w:r>
              <w:rPr/>
              <w:t>The Purchase Agreement shall be governed by the laws of the State of Texas.</w:t>
            </w:r>
          </w:p>
          <w:p>
            <w:pPr>
              <w:pStyle w:val="BodyText"/>
              <w:widowControl/>
              <w:rPr/>
            </w:pPr>
            <w:r>
              <w:rPr/>
            </w:r>
          </w:p>
        </w:tc>
      </w:tr>
      <w:tr>
        <w:trPr/>
        <w:tc>
          <w:tcPr>
            <w:tcW w:w="2268" w:type="dxa"/>
            <w:tcBorders/>
          </w:tcPr>
          <w:p>
            <w:pPr>
              <w:pStyle w:val="Normal"/>
              <w:widowControl/>
              <w:rPr>
                <w:b/>
                <w:bCs/>
                <w:sz w:val="24"/>
                <w:szCs w:val="24"/>
              </w:rPr>
            </w:pPr>
            <w:r>
              <w:rPr>
                <w:b/>
                <w:bCs/>
                <w:sz w:val="24"/>
                <w:szCs w:val="24"/>
              </w:rPr>
              <w:t>Taxes:</w:t>
            </w:r>
          </w:p>
        </w:tc>
        <w:tc>
          <w:tcPr>
            <w:tcW w:w="7308" w:type="dxa"/>
            <w:tcBorders/>
          </w:tcPr>
          <w:p>
            <w:pPr>
              <w:pStyle w:val="BodyText"/>
              <w:widowControl/>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widowControl/>
              <w:jc w:val="both"/>
              <w:rPr>
                <w:sz w:val="24"/>
                <w:szCs w:val="24"/>
              </w:rPr>
            </w:pPr>
            <w:r>
              <w:rPr>
                <w:sz w:val="24"/>
                <w:szCs w:val="24"/>
              </w:rPr>
            </w:r>
          </w:p>
        </w:tc>
      </w:tr>
    </w:tbl>
    <w:p>
      <w:pPr>
        <w:pStyle w:val="BodyText"/>
        <w:widowControl/>
        <w:ind w:hanging="3600" w:start="3600" w:end="0"/>
        <w:rPr>
          <w:b/>
          <w:bCs/>
        </w:rPr>
      </w:pPr>
      <w:r>
        <w:rPr>
          <w:b/>
          <w:bCs/>
        </w:rPr>
      </w:r>
      <w:r>
        <w:br w:type="page"/>
      </w:r>
    </w:p>
    <w:p>
      <w:pPr>
        <w:pStyle w:val="BodyText"/>
        <w:widowControl/>
        <w:jc w:val="center"/>
        <w:rPr>
          <w:b/>
          <w:bCs/>
        </w:rPr>
      </w:pPr>
      <w:r>
        <w:rPr>
          <w:b/>
          <w:bCs/>
        </w:rPr>
      </w:r>
    </w:p>
    <w:p>
      <w:pPr>
        <w:pStyle w:val="Title"/>
        <w:widowControl/>
        <w:rPr/>
      </w:pPr>
      <w:r>
        <w:rPr/>
        <w:t>Attachment 2</w:t>
      </w:r>
    </w:p>
    <w:p>
      <w:pPr>
        <w:pStyle w:val="Title"/>
        <w:widowControl/>
        <w:rPr/>
      </w:pPr>
      <w:r>
        <w:rPr/>
      </w:r>
    </w:p>
    <w:p>
      <w:pPr>
        <w:pStyle w:val="Title"/>
        <w:widowControl/>
        <w:rPr/>
      </w:pPr>
      <w:r>
        <w:rPr/>
        <w:t>TERMS OF PROMISSORY NOTE</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3</w:t>
      </w:r>
    </w:p>
    <w:p>
      <w:pPr>
        <w:pStyle w:val="Title"/>
        <w:widowControl/>
        <w:rPr/>
      </w:pPr>
      <w:r>
        <w:rPr/>
      </w:r>
    </w:p>
    <w:p>
      <w:pPr>
        <w:pStyle w:val="Title"/>
        <w:widowControl/>
        <w:rPr/>
      </w:pPr>
      <w:r>
        <w:rPr/>
        <w:t>INITIAL ORGANIZATION CHART</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4</w:t>
      </w:r>
    </w:p>
    <w:p>
      <w:pPr>
        <w:pStyle w:val="Title"/>
        <w:widowControl/>
        <w:rPr/>
      </w:pPr>
      <w:r>
        <w:rPr/>
      </w:r>
    </w:p>
    <w:p>
      <w:pPr>
        <w:pStyle w:val="Title"/>
        <w:widowControl/>
        <w:rPr/>
      </w:pPr>
      <w:r>
        <w:rPr/>
        <w:t>DESCRIPTION OF SPECIFIED GEOGRAPHICAL AREA</w:t>
      </w:r>
    </w:p>
    <w:p>
      <w:pPr>
        <w:pStyle w:val="Title"/>
        <w:widowControl/>
        <w:rPr/>
      </w:pPr>
      <w:r>
        <w:rPr/>
      </w:r>
    </w:p>
    <w:p>
      <w:pPr>
        <w:pStyle w:val="Title"/>
        <w:widowControl/>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560942.8</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14</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560942.8</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ind w:firstLine="72" w:start="0" w:end="0"/>
      <w:jc w:val="both"/>
      <w:outlineLvl w:val="0"/>
    </w:pPr>
    <w:rPr/>
  </w:style>
  <w:style w:type="paragraph" w:styleId="Heading2">
    <w:name w:val="heading 2"/>
    <w:basedOn w:val="Heading"/>
    <w:next w:val="BodyText"/>
    <w:qFormat/>
    <w:pPr>
      <w:numPr>
        <w:ilvl w:val="1"/>
        <w:numId w:val="1"/>
      </w:numPr>
      <w:tabs>
        <w:tab w:val="left" w:pos="720" w:leader="none"/>
      </w:tabs>
      <w:ind w:hanging="720" w:start="1440" w:end="0"/>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ind w:hanging="720" w:start="1440" w:end="0"/>
      <w:jc w:val="both"/>
      <w:outlineLvl w:val="2"/>
    </w:pPr>
    <w:rPr/>
  </w:style>
  <w:style w:type="paragraph" w:styleId="Heading4">
    <w:name w:val="heading 4"/>
    <w:basedOn w:val="Heading"/>
    <w:next w:val="BodyText"/>
    <w:qFormat/>
    <w:pPr>
      <w:numPr>
        <w:ilvl w:val="3"/>
        <w:numId w:val="1"/>
      </w:numPr>
      <w:tabs>
        <w:tab w:val="clear" w:pos="720"/>
        <w:tab w:val="left" w:pos="2160" w:leader="none"/>
      </w:tabs>
      <w:ind w:firstLine="720" w:start="720" w:end="0"/>
      <w:jc w:val="both"/>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raNum">
    <w:name w:val="ParaNum"/>
    <w:basedOn w:val="DefaultParagraphFont"/>
    <w:qFormat/>
    <w:rPr/>
  </w:style>
  <w:style w:type="character" w:styleId="PageNumber">
    <w:name w:val="page number"/>
    <w:basedOn w:val="DefaultParagraphFont"/>
    <w:rPr>
      <w:sz w:val="20"/>
      <w:szCs w:val="20"/>
    </w:rPr>
  </w:style>
  <w:style w:type="paragraph" w:styleId="Heading">
    <w:name w:val="Heading"/>
    <w:basedOn w:val="Normal"/>
    <w:next w:val="BodyText"/>
    <w:qFormat/>
    <w:pPr>
      <w:spacing w:before="0" w:after="240"/>
      <w:jc w:val="center"/>
    </w:pPr>
    <w:rPr>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tabs>
        <w:tab w:val="clear" w:pos="720"/>
        <w:tab w:val="left" w:pos="360" w:leader="none"/>
      </w:tabs>
      <w:ind w:hanging="2880" w:start="2880" w:end="0"/>
      <w:jc w:val="both"/>
    </w:pPr>
    <w:rPr>
      <w:sz w:val="22"/>
      <w:szCs w:val="22"/>
    </w:rPr>
  </w:style>
  <w:style w:type="paragraph" w:styleId="BodyTextIndent3">
    <w:name w:val="Body Text Indent 3"/>
    <w:basedOn w:val="Normal"/>
    <w:qFormat/>
    <w:pPr>
      <w:ind w:hanging="0" w:start="360" w:end="0"/>
      <w:jc w:val="both"/>
    </w:pPr>
    <w:rPr>
      <w:sz w:val="22"/>
      <w:szCs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szCs w:val="24"/>
    </w:rPr>
  </w:style>
  <w:style w:type="paragraph" w:styleId="Title">
    <w:name w:val="Title"/>
    <w:basedOn w:val="Normal"/>
    <w:next w:val="BodyText"/>
    <w:qFormat/>
    <w:pPr>
      <w:jc w:val="center"/>
    </w:pPr>
    <w:rPr>
      <w:b/>
      <w:bCs/>
      <w:kern w:val="2"/>
      <w:sz w:val="24"/>
      <w:szCs w:val="24"/>
    </w:rPr>
  </w:style>
  <w:style w:type="paragraph" w:styleId="TextIndent">
    <w:name w:val="Text Indent"/>
    <w:basedOn w:val="Normal"/>
    <w:qFormat/>
    <w:pPr>
      <w:spacing w:before="0" w:after="120"/>
      <w:ind w:hanging="0" w:start="720" w:end="0"/>
      <w:jc w:val="both"/>
    </w:pPr>
    <w:rPr>
      <w:sz w:val="24"/>
      <w:szCs w:val="24"/>
    </w:rPr>
  </w:style>
  <w:style w:type="paragraph" w:styleId="textInent">
    <w:name w:val="text Inent"/>
    <w:basedOn w:val="Normal"/>
    <w:qFormat/>
    <w:pPr>
      <w:spacing w:before="0" w:after="240"/>
      <w:ind w:hanging="0" w:start="360" w:end="0"/>
      <w:jc w:val="both"/>
    </w:pPr>
    <w:rPr>
      <w:sz w:val="24"/>
      <w:szCs w:val="24"/>
    </w:rPr>
  </w:style>
  <w:style w:type="paragraph" w:styleId="TextIndent2">
    <w:name w:val="Text Indent 2"/>
    <w:basedOn w:val="Normal"/>
    <w:qFormat/>
    <w:pPr>
      <w:tabs>
        <w:tab w:val="left" w:pos="720" w:leader="none"/>
      </w:tabs>
      <w:ind w:firstLine="2160" w:start="720" w:end="0"/>
      <w:jc w:val="both"/>
    </w:pPr>
    <w:rPr>
      <w:sz w:val="24"/>
      <w:szCs w:val="24"/>
    </w:rPr>
  </w:style>
  <w:style w:type="paragraph" w:styleId="Subtitle">
    <w:name w:val="Subtitle"/>
    <w:basedOn w:val="Normal"/>
    <w:next w:val="BodyText"/>
    <w:qFormat/>
    <w:pPr>
      <w:jc w:val="center"/>
    </w:pPr>
    <w:rPr>
      <w:b/>
      <w:bCs/>
      <w:sz w:val="24"/>
      <w:szCs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2000-08-03T20:09:00Z</dcterms:created>
  <dc:creator>carolyn creel</dc:creator>
  <dc:description/>
  <dc:language>en-CA</dc:language>
  <cp:lastModifiedBy>A&amp;K</cp:lastModifiedBy>
  <cp:lastPrinted>2000-08-03T17:35:00Z</cp:lastPrinted>
  <dcterms:modified xsi:type="dcterms:W3CDTF">2000-08-03T20:09:00Z</dcterms:modified>
  <cp:revision>2</cp:revision>
  <dc:subject/>
  <dc:title>  LETTER OF UNDERSTANDING</dc:title>
</cp:coreProperties>
</file>