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object w:dxaOrig="1152" w:dyaOrig="10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21.6pt;width:57.6pt;height:64.8pt;mso-wrap-distance-left:9.05pt;mso-wrap-distance-right:9.05pt;mso-position-horizontal-relative:text;mso-position-vertical-relative:page" filled="f" o:ole="">
            <v:imagedata r:id="rId3" o:title=""/>
            <w10:wrap type="topAndBottom"/>
          </v:shape>
          <o:OLEObject Type="Embed" ProgID="" ShapeID="ole_rId2" DrawAspect="Content" ObjectID="_245694134" r:id="rId2"/>
        </w:object>
        <w:drawing>
          <wp:anchor behindDoc="0" distT="0" distB="0" distL="114935" distR="114935" simplePos="0" locked="0" layoutInCell="1" allowOverlap="1" relativeHeight="3">
            <wp:simplePos x="0" y="0"/>
            <wp:positionH relativeFrom="column">
              <wp:posOffset>6217920</wp:posOffset>
            </wp:positionH>
            <wp:positionV relativeFrom="paragraph">
              <wp:posOffset>-182880</wp:posOffset>
            </wp:positionV>
            <wp:extent cx="688975" cy="7296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9" t="-19" r="-19" b="-19"/>
                    <a:stretch>
                      <a:fillRect/>
                    </a:stretch>
                  </pic:blipFill>
                  <pic:spPr bwMode="auto">
                    <a:xfrm>
                      <a:off x="0" y="0"/>
                      <a:ext cx="688975" cy="729615"/>
                    </a:xfrm>
                    <a:prstGeom prst="rect">
                      <a:avLst/>
                    </a:prstGeom>
                    <a:noFill/>
                  </pic:spPr>
                </pic:pic>
              </a:graphicData>
            </a:graphic>
          </wp:anchor>
        </w:drawing>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1412" w:type="dxa"/>
        <w:jc w:val="start"/>
        <w:tblInd w:w="0" w:type="dxa"/>
        <w:tblLayout w:type="fixed"/>
        <w:tblCellMar>
          <w:top w:w="0" w:type="dxa"/>
          <w:start w:w="108" w:type="dxa"/>
          <w:bottom w:w="0" w:type="dxa"/>
          <w:end w:w="108" w:type="dxa"/>
        </w:tblCellMar>
      </w:tblPr>
      <w:tblGrid>
        <w:gridCol w:w="1458"/>
        <w:gridCol w:w="4050"/>
        <w:gridCol w:w="540"/>
        <w:gridCol w:w="1620"/>
        <w:gridCol w:w="3744"/>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HORN, STEPHEN 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744"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MCCONNELL, MICHAEL 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TECHNOLOGY INVESTMENTS</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744"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 30,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VICE PRESIDENT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VP COMM</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01, 1996</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01, 1996</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Excellent - Steve has excellent vision and ability to identify viable investment opportunities.  He has effectively worked Enron into deals and has created the proper strucuture to make the transaction profitable.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Satisfactory - Steve needs to communicate more clearly and concisely. Steve should also involve others in the overall setting of direction.  It is critical to get others bought into his view to increase the likelihood of success of the opportunity.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Needs Improvement - Steve is unable to develop an effective network within Enron to grow and support his business as required.  He needs to work on his interpersonal skills and appreciation for other skill sets and opinions within the company.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Satisfactory - Steve needs to be more open to other viewpoints.  An effective leader within Enron requires a development of trust and cooperation within the business units.  The feedback which was received emphasised this problem.</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Superior - Steve has excellent judgment and his investments have perfomed very well.   Identification of diverse investment opportunities is excellent.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Superior - Steve knows and identifies all the issues; great understanding of stucturing; ability to dissect transactions and manage the risks.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5"/>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b/>
                <w:sz w:val="18"/>
                <w:shd w:fill="FFFFFF" w:val="clear"/>
                <w:lang w:val="en-CA"/>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Steve's career at Enron has been very successful.  He has developed the principal investment group into a very profitable organization for Enron,  especially for ENA.  He is able to develop and execute transactions in a superior manner.  In the first half of 2000, Steve experienced many challenges as he and most of his group transitioned out of the ENA into Enron Net Works.   Attached is a list of accomplishments for the first 6 months of the year.</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r>
          </w:p>
          <w:p>
            <w:pPr>
              <w:pStyle w:val="Normal"/>
              <w:rPr>
                <w:rFonts w:ascii="Arial" w:hAnsi="Arial" w:cs="Arial"/>
                <w:b/>
                <w:sz w:val="18"/>
                <w:shd w:fill="FFFFFF" w:val="clear"/>
                <w:lang w:val="en-CA"/>
              </w:rPr>
            </w:pPr>
            <w:r>
              <w:rPr>
                <w:rFonts w:eastAsia="Arial" w:cs="Arial" w:ascii="Arial" w:hAnsi="Arial"/>
                <w:b/>
                <w:sz w:val="18"/>
                <w:shd w:fill="FFFFFF" w:val="clear"/>
                <w:lang w:val="en-CA"/>
              </w:rPr>
              <w:t xml:space="preserve"> </w:t>
            </w:r>
            <w:r>
              <w:rPr>
                <w:rFonts w:cs="Arial" w:ascii="Arial" w:hAnsi="Arial"/>
                <w:b/>
                <w:sz w:val="18"/>
                <w:shd w:fill="FFFFFF" w:val="clear"/>
                <w:lang w:val="en-CA"/>
              </w:rPr>
              <w:t>I recevied a great deal of direct feedback from the recent PRC process.  The feedback included views from peers, senior management and team members.  The feedback which was  lengthy and dramatic in nature.  As stated above, Steve has superior technical, analytical and overall business instincts and transaction execution skills.  He has taken those assets and been very successful in the investment group.  The feedback, comments and ratings also included very strong commentary regarding his communciation and leadership skills.  It was very strong and very negative.  An overall ranking must take all areas into account especially in these areas.  With that principal as the driver, if these areas are not dramatically improved, it completely outweighs all the positive, superior skills and history for Steve.</w:t>
            </w:r>
          </w:p>
          <w:p>
            <w:pPr>
              <w:pStyle w:val="Normal"/>
              <w:rPr>
                <w:rFonts w:ascii="Arial" w:hAnsi="Arial" w:cs="Arial"/>
                <w:b/>
                <w:sz w:val="18"/>
                <w:shd w:fill="FFFFFF" w:val="clear"/>
                <w:lang w:val="en-CA"/>
              </w:rPr>
            </w:pPr>
            <w:r>
              <w:rPr>
                <w:rFonts w:cs="Arial" w:ascii="Arial" w:hAnsi="Arial"/>
                <w:b/>
                <w:sz w:val="18"/>
                <w:shd w:fill="FFFFFF" w:val="clear"/>
                <w:lang w:val="en-CA"/>
              </w:rPr>
            </w:r>
          </w:p>
          <w:p>
            <w:pPr>
              <w:pStyle w:val="Normal"/>
              <w:rPr>
                <w:rFonts w:ascii="Arial" w:hAnsi="Arial" w:cs="Arial"/>
              </w:rPr>
            </w:pPr>
            <w:r>
              <w:rPr>
                <w:rFonts w:cs="Arial" w:ascii="Arial" w:hAnsi="Arial"/>
                <w:b/>
                <w:sz w:val="18"/>
                <w:shd w:fill="FFFFFF" w:val="clear"/>
                <w:lang w:val="en-CA"/>
              </w:rPr>
              <w:t xml:space="preserve">Steve has not received this type of direct and dramatic permormance feedback in the past.  I am confident that he will review all these issues carefully and decide on the proper course of action to once again highlight and leverage all his positive attributes.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Steve reported to me for the first half of 2000.   As head of the princpal investment group, he reviewed potential investments, participated in strategy development for both his group and the Global Technology group.  He provided management of the investment opportunities and general analysis and evaluation of Enron's eCommerce opportunites.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Intelligence, analytic and technical skills, financial and investment experience, business instincts and judgment, market knowledge,  recognizing opportunities, and negotiations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Steve must take steps to dramatically improve his relationships and communication channels within Enron.  Before his move into the Global Technlogy group, he was more isolated in how his group functioned, however, now he must interact with all key business unit leaders and that interaction must include people having a great deal of trust and confidence in Steve.  Today that interaction is not possible.  There is enromous concern about Steve's ability to communciate with these units and people.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Complete th</w:t>
            </w:r>
            <w:r>
              <w:rPr>
                <w:rFonts w:cs="Arial" w:ascii="Arial" w:hAnsi="Arial"/>
                <w:b/>
                <w:sz w:val="18"/>
                <w:shd w:fill="FFFFFF" w:val="clear"/>
                <w:lang w:val="en-CA"/>
              </w:rPr>
              <w:t>e Exectuive Influence and Impact course for internal evaluation and feedback.  Development of a direct action plan to be co-ordinated with his current supervisor and ways to clarify and re-establish good working relationship with key players and business unit leaders.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sectPr>
      <w:footerReference w:type="default" r:id="rId5"/>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2000-10-02T14:54:00Z</dcterms:created>
  <dc:creator>Performance Management</dc:creator>
  <dc:description/>
  <dc:language>en-CA</dc:language>
  <cp:lastModifiedBy>mmccon1</cp:lastModifiedBy>
  <cp:lastPrinted>2000-10-02T17:30:00Z</cp:lastPrinted>
  <dcterms:modified xsi:type="dcterms:W3CDTF">2000-10-02T20:00:00Z</dcterms:modified>
  <cp:revision>4</cp:revision>
  <dc:subject/>
  <dc:title/>
</cp:coreProperties>
</file>