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12"/>
        <w:jc w:val="end"/>
        <w:rPr>
          <w:sz w:val="24"/>
          <w:lang w:val="en-US"/>
        </w:rPr>
      </w:pPr>
      <w:r>
        <w:rPr>
          <w:sz w:val="24"/>
          <w:lang w:val="en-US"/>
        </w:rPr>
        <w:t>Draft only for</w:t>
      </w:r>
    </w:p>
    <w:p>
      <w:pPr>
        <w:pStyle w:val="Normal"/>
        <w:spacing w:lineRule="auto" w:line="312"/>
        <w:jc w:val="end"/>
        <w:rPr>
          <w:sz w:val="24"/>
          <w:lang w:val="en-US"/>
        </w:rPr>
      </w:pPr>
      <w:r>
        <w:rPr>
          <w:sz w:val="24"/>
          <w:lang w:val="en-US"/>
        </w:rPr>
        <w:t>Discussion purposes</w:t>
      </w:r>
    </w:p>
    <w:p>
      <w:pPr>
        <w:pStyle w:val="Normal"/>
        <w:spacing w:lineRule="auto" w:line="312"/>
        <w:jc w:val="end"/>
        <w:rPr>
          <w:sz w:val="24"/>
          <w:u w:val="single"/>
          <w:lang w:val="en-US"/>
        </w:rPr>
      </w:pPr>
      <w:r>
        <w:rPr>
          <w:sz w:val="24"/>
          <w:u w:val="single"/>
          <w:lang w:val="en-US"/>
        </w:rPr>
        <w:t>July 23, 2001</w:t>
      </w:r>
    </w:p>
    <w:p>
      <w:pPr>
        <w:pStyle w:val="Normal"/>
        <w:spacing w:lineRule="auto" w:line="312"/>
        <w:jc w:val="end"/>
        <w:rPr>
          <w:sz w:val="24"/>
          <w:u w:val="single"/>
          <w:lang w:val="en-US"/>
        </w:rPr>
      </w:pPr>
      <w:r>
        <w:rPr>
          <w:sz w:val="24"/>
          <w:u w:val="single"/>
          <w:lang w:val="en-US"/>
        </w:rPr>
      </w:r>
    </w:p>
    <w:p>
      <w:pPr>
        <w:pStyle w:val="Normal"/>
        <w:spacing w:lineRule="auto" w:line="312"/>
        <w:jc w:val="center"/>
        <w:rPr>
          <w:sz w:val="24"/>
          <w:lang w:val="en-US"/>
        </w:rPr>
      </w:pPr>
      <w:r>
        <w:rPr>
          <w:sz w:val="24"/>
          <w:lang w:val="en-US"/>
        </w:rPr>
        <w:t>[Enron’s Letterhead]</w:t>
      </w:r>
    </w:p>
    <w:p>
      <w:pPr>
        <w:pStyle w:val="Normal"/>
        <w:spacing w:lineRule="auto" w:line="312"/>
        <w:rPr>
          <w:sz w:val="24"/>
          <w:lang w:val="en-US"/>
        </w:rPr>
      </w:pPr>
      <w:r>
        <w:rPr>
          <w:sz w:val="24"/>
          <w:lang w:val="en-US"/>
        </w:rPr>
      </w:r>
    </w:p>
    <w:p>
      <w:pPr>
        <w:pStyle w:val="Normal"/>
        <w:spacing w:lineRule="auto" w:line="312"/>
        <w:rPr>
          <w:sz w:val="24"/>
          <w:lang w:val="en-US"/>
        </w:rPr>
      </w:pPr>
      <w:r>
        <w:rPr>
          <w:sz w:val="24"/>
          <w:lang w:val="en-US"/>
        </w:rPr>
      </w:r>
    </w:p>
    <w:p>
      <w:pPr>
        <w:pStyle w:val="Normal"/>
        <w:spacing w:lineRule="auto" w:line="312"/>
        <w:rPr/>
      </w:pPr>
      <w:r>
        <w:rPr>
          <w:sz w:val="24"/>
          <w:lang w:val="en-US"/>
        </w:rPr>
        <w:t xml:space="preserve">São Paulo, </w:t>
      </w:r>
      <w:r>
        <w:rPr>
          <w:b/>
          <w:sz w:val="24"/>
          <w:lang w:val="en-US"/>
        </w:rPr>
        <w:t>[insert date]</w:t>
      </w:r>
    </w:p>
    <w:p>
      <w:pPr>
        <w:pStyle w:val="Normal"/>
        <w:spacing w:lineRule="auto" w:line="312"/>
        <w:rPr>
          <w:b/>
          <w:sz w:val="24"/>
          <w:lang w:val="en-US"/>
        </w:rPr>
      </w:pPr>
      <w:r>
        <w:rPr>
          <w:b/>
          <w:sz w:val="24"/>
          <w:lang w:val="en-US"/>
        </w:rPr>
      </w:r>
    </w:p>
    <w:p>
      <w:pPr>
        <w:pStyle w:val="peticao"/>
        <w:numPr>
          <w:ilvl w:val="0"/>
          <w:numId w:val="0"/>
        </w:numPr>
        <w:tabs>
          <w:tab w:val="clear" w:pos="1276"/>
        </w:tabs>
        <w:spacing w:before="0" w:after="0"/>
        <w:ind w:hanging="0" w:start="0"/>
        <w:rPr>
          <w:sz w:val="24"/>
          <w:lang w:val="en-US"/>
        </w:rPr>
      </w:pPr>
      <w:r>
        <w:rPr>
          <w:sz w:val="24"/>
          <w:lang w:val="en-US"/>
        </w:rPr>
      </w:r>
    </w:p>
    <w:p>
      <w:pPr>
        <w:pStyle w:val="Normal"/>
        <w:spacing w:lineRule="auto" w:line="312"/>
        <w:rPr>
          <w:sz w:val="24"/>
          <w:lang w:val="en-US"/>
        </w:rPr>
      </w:pPr>
      <w:r>
        <w:rPr>
          <w:sz w:val="24"/>
          <w:lang w:val="en-US"/>
        </w:rPr>
        <w:t>Mr./Mrs./Ms.</w:t>
      </w:r>
    </w:p>
    <w:p>
      <w:pPr>
        <w:pStyle w:val="Normal"/>
        <w:spacing w:lineRule="auto" w:line="312"/>
        <w:rPr>
          <w:b/>
          <w:sz w:val="24"/>
          <w:lang w:val="en-US"/>
        </w:rPr>
      </w:pPr>
      <w:r>
        <w:rPr>
          <w:b/>
          <w:sz w:val="24"/>
          <w:lang w:val="en-US"/>
        </w:rPr>
        <w:t>[insert beneficiary’s name]</w:t>
      </w:r>
    </w:p>
    <w:p>
      <w:pPr>
        <w:pStyle w:val="Normal"/>
        <w:spacing w:lineRule="auto" w:line="312"/>
        <w:rPr>
          <w:b/>
          <w:sz w:val="24"/>
          <w:lang w:val="en-US"/>
        </w:rPr>
      </w:pPr>
      <w:r>
        <w:rPr>
          <w:b/>
          <w:sz w:val="24"/>
          <w:lang w:val="en-US"/>
        </w:rPr>
        <w:t>[insert beneficiary’s address]</w:t>
      </w:r>
    </w:p>
    <w:p>
      <w:pPr>
        <w:pStyle w:val="Normal"/>
        <w:spacing w:lineRule="auto" w:line="312"/>
        <w:rPr>
          <w:b/>
          <w:sz w:val="24"/>
          <w:lang w:val="en-US"/>
        </w:rPr>
      </w:pPr>
      <w:r>
        <w:rPr>
          <w:b/>
          <w:sz w:val="24"/>
          <w:lang w:val="en-US"/>
        </w:rPr>
      </w:r>
    </w:p>
    <w:p>
      <w:pPr>
        <w:pStyle w:val="Normal"/>
        <w:spacing w:lineRule="auto" w:line="312"/>
        <w:rPr>
          <w:sz w:val="24"/>
          <w:lang w:val="en-US"/>
        </w:rPr>
      </w:pPr>
      <w:r>
        <w:rPr>
          <w:sz w:val="24"/>
          <w:lang w:val="en-US"/>
        </w:rPr>
      </w:r>
    </w:p>
    <w:p>
      <w:pPr>
        <w:pStyle w:val="Normal"/>
        <w:spacing w:lineRule="auto" w:line="312"/>
        <w:jc w:val="end"/>
        <w:rPr>
          <w:sz w:val="24"/>
          <w:lang w:val="en-US"/>
        </w:rPr>
      </w:pPr>
      <w:r>
        <w:rPr>
          <w:sz w:val="24"/>
          <w:lang w:val="en-US"/>
        </w:rPr>
        <w:t xml:space="preserve">Ref.: </w:t>
      </w:r>
      <w:r>
        <w:rPr>
          <w:sz w:val="24"/>
          <w:u w:val="single"/>
          <w:lang w:val="en-US"/>
        </w:rPr>
        <w:t>Retention Plan</w:t>
      </w:r>
    </w:p>
    <w:p>
      <w:pPr>
        <w:pStyle w:val="Normal"/>
        <w:spacing w:lineRule="auto" w:line="312"/>
        <w:rPr>
          <w:sz w:val="24"/>
          <w:lang w:val="en-US"/>
        </w:rPr>
      </w:pPr>
      <w:r>
        <w:rPr>
          <w:sz w:val="24"/>
          <w:lang w:val="en-US"/>
        </w:rPr>
      </w:r>
    </w:p>
    <w:p>
      <w:pPr>
        <w:pStyle w:val="Normal"/>
        <w:spacing w:lineRule="auto" w:line="312"/>
        <w:rPr>
          <w:sz w:val="24"/>
          <w:lang w:val="en-US"/>
        </w:rPr>
      </w:pPr>
      <w:r>
        <w:rPr>
          <w:sz w:val="24"/>
          <w:lang w:val="en-US"/>
        </w:rPr>
      </w:r>
    </w:p>
    <w:p>
      <w:pPr>
        <w:pStyle w:val="Normal"/>
        <w:spacing w:lineRule="auto" w:line="312"/>
        <w:rPr>
          <w:sz w:val="24"/>
          <w:lang w:val="en-US"/>
        </w:rPr>
      </w:pPr>
      <w:r>
        <w:rPr>
          <w:sz w:val="24"/>
          <w:lang w:val="en-US"/>
        </w:rPr>
        <w:t>Dear Sir/Madam,</w:t>
      </w:r>
    </w:p>
    <w:p>
      <w:pPr>
        <w:pStyle w:val="peticao"/>
        <w:numPr>
          <w:ilvl w:val="0"/>
          <w:numId w:val="0"/>
        </w:numPr>
        <w:tabs>
          <w:tab w:val="clear" w:pos="1276"/>
        </w:tabs>
        <w:spacing w:before="0" w:after="0"/>
        <w:ind w:hanging="0" w:start="0"/>
        <w:rPr>
          <w:sz w:val="24"/>
          <w:lang w:val="en-US"/>
        </w:rPr>
      </w:pPr>
      <w:r>
        <w:rPr>
          <w:sz w:val="24"/>
          <w:lang w:val="en-US"/>
        </w:rPr>
      </w:r>
    </w:p>
    <w:p>
      <w:pPr>
        <w:pStyle w:val="BodyText"/>
        <w:spacing w:lineRule="auto" w:line="312"/>
        <w:rPr>
          <w:lang w:val="en-US"/>
        </w:rPr>
      </w:pPr>
      <w:r>
        <w:rPr>
          <w:lang w:val="en-US"/>
        </w:rPr>
        <w:t>As per result of negotiations previously held between you (“Beneficiary”) and the Company, Enron América do Sul Ltda., herein represented by its legal representative undersigned below, considering that you want to comply with the obligations set out hereunder, agrees on the granting of the benefit below, which will be governed exclusively by this Letter-Agreement.</w:t>
      </w:r>
    </w:p>
    <w:p>
      <w:pPr>
        <w:pStyle w:val="BodyText"/>
        <w:spacing w:lineRule="auto" w:line="312"/>
        <w:rPr>
          <w:lang w:val="en-US"/>
        </w:rPr>
      </w:pPr>
      <w:r>
        <w:rPr>
          <w:lang w:val="en-US"/>
        </w:rPr>
      </w:r>
    </w:p>
    <w:p>
      <w:pPr>
        <w:pStyle w:val="BodyText"/>
        <w:spacing w:lineRule="auto" w:line="312"/>
        <w:rPr>
          <w:b/>
          <w:lang w:val="en-US"/>
        </w:rPr>
      </w:pPr>
      <w:r>
        <w:rPr>
          <w:lang w:val="en-US"/>
        </w:rPr>
        <w:t>1.</w:t>
        <w:tab/>
        <w:t xml:space="preserve">Subject to and effective upon approval by the Administrative Committee of the Compensation and Management Development Committee of the Enron Corp. Board of Directors (the “Committee”), the Company shall grant to Beneficiary a number of options equivalent to </w:t>
      </w:r>
      <w:r>
        <w:rPr>
          <w:b/>
          <w:lang w:val="en-US"/>
        </w:rPr>
        <w:t>[insert amount US$ or R$]</w:t>
      </w:r>
      <w:r>
        <w:rPr>
          <w:lang w:val="en-US"/>
        </w:rPr>
        <w:t xml:space="preserve"> to acquire the stock of Enron Corp..  The number of stock options shall be determined by the Committee, which will use the Enron Corp.-approved Black-Scholes valuation.  After the vesting period has elapsed and within the validity period, Beneficiary may, at his/her sole discretion, decide to exercise the options, taking into account the current fair market value of the stock of Enron Corp. on such date.</w:t>
      </w:r>
    </w:p>
    <w:p>
      <w:pPr>
        <w:pStyle w:val="BodyText"/>
        <w:spacing w:lineRule="auto" w:line="312"/>
        <w:rPr>
          <w:b/>
          <w:lang w:val="en-US"/>
        </w:rPr>
      </w:pPr>
      <w:r>
        <w:rPr>
          <w:b/>
          <w:lang w:val="en-US"/>
        </w:rPr>
      </w:r>
    </w:p>
    <w:p>
      <w:pPr>
        <w:pStyle w:val="BodyText"/>
        <w:spacing w:lineRule="auto" w:line="312"/>
        <w:rPr/>
      </w:pPr>
      <w:r>
        <w:rPr>
          <w:lang w:val="en-US"/>
        </w:rPr>
        <w:t>2.</w:t>
        <w:tab/>
        <w:t xml:space="preserve">The grant of options will be made within </w:t>
      </w:r>
      <w:r>
        <w:rPr>
          <w:b/>
          <w:lang w:val="en-US"/>
        </w:rPr>
        <w:t>[insert number]</w:t>
      </w:r>
      <w:r>
        <w:rPr>
          <w:lang w:val="en-US"/>
        </w:rPr>
        <w:t xml:space="preserve"> days of the execution of this Agreement and the exercise price will be based on the fair market value of Enron Corp. common stock at the closing price reported in </w:t>
      </w:r>
      <w:r>
        <w:rPr>
          <w:i/>
          <w:lang w:val="en-US"/>
        </w:rPr>
        <w:t>The Wall Street Journal</w:t>
      </w:r>
      <w:r>
        <w:rPr>
          <w:lang w:val="en-US"/>
        </w:rPr>
        <w:t xml:space="preserve"> on the granting date.</w:t>
      </w:r>
    </w:p>
    <w:p>
      <w:pPr>
        <w:pStyle w:val="BodyText"/>
        <w:spacing w:lineRule="auto" w:line="312"/>
        <w:rPr>
          <w:lang w:val="en-US"/>
        </w:rPr>
      </w:pPr>
      <w:r>
        <w:rPr>
          <w:lang w:val="en-US"/>
        </w:rPr>
      </w:r>
    </w:p>
    <w:p>
      <w:pPr>
        <w:pStyle w:val="BodyText"/>
        <w:spacing w:lineRule="auto" w:line="312"/>
        <w:rPr/>
      </w:pPr>
      <w:r>
        <w:rPr>
          <w:lang w:val="en-US"/>
        </w:rPr>
        <w:t>3.</w:t>
        <w:tab/>
        <w:t xml:space="preserve">After the vesting period has elapsed and within the validity period, Beneficiary may exercise his/her options acquiring the stock for the exercise price as determined on the granting date and simultaneously selling the stock through an arranged brokerage on the date of the Beneficiary decides to exercise the option. Beneficiary will be charged from the proceeds of sale of the exercised stock options a fixed transaction fee of </w:t>
      </w:r>
      <w:r>
        <w:rPr>
          <w:b/>
          <w:lang w:val="en-US"/>
        </w:rPr>
        <w:t>[insert amount]</w:t>
      </w:r>
      <w:r>
        <w:rPr>
          <w:lang w:val="en-US"/>
        </w:rPr>
        <w:t xml:space="preserve"> per share of stock. The financial gain on the exercise is the difference between the sale price and the grant price multiplied by the number of options exercised. The gain, minus broker transaction fee and taxes, is delivered to the Beneficiary’s account with the broker.</w:t>
      </w:r>
    </w:p>
    <w:p>
      <w:pPr>
        <w:pStyle w:val="BodyText"/>
        <w:spacing w:lineRule="auto" w:line="312"/>
        <w:rPr>
          <w:lang w:val="en-US"/>
        </w:rPr>
      </w:pPr>
      <w:r>
        <w:rPr>
          <w:lang w:val="en-US"/>
        </w:rPr>
      </w:r>
    </w:p>
    <w:p>
      <w:pPr>
        <w:pStyle w:val="BodyText"/>
        <w:spacing w:lineRule="auto" w:line="312"/>
        <w:rPr>
          <w:lang w:val="en-US"/>
        </w:rPr>
      </w:pPr>
      <w:r>
        <w:rPr>
          <w:lang w:val="en-US"/>
        </w:rPr>
        <w:t>4.</w:t>
        <w:tab/>
        <w:t>In order to represent an incentive for the Beneficiary to remain in the Company, the Beneficiary will be vested in the right to exercise an option as follows: (a) up to 33,3% of the stock options granted as of one year of the granting date; (b) up to 66,6% of the stock options granted as of two years of the granting date; (c) up to 100% of the stock options granted as of three years of the granting date  The right of the Beneficiary to the stock option will only be fully vested on the effective date the Employee actually exercises an option, after the vesting period has elapsed and within the validity period of five (5) years.  In no event may Beneficiary exercise or have any rights to unvested options. In no event may Beneficiary exercise or have any rights in a stock option after the term of the validity period.</w:t>
      </w:r>
    </w:p>
    <w:p>
      <w:pPr>
        <w:pStyle w:val="BodyText"/>
        <w:spacing w:lineRule="auto" w:line="312"/>
        <w:rPr>
          <w:lang w:val="en-US"/>
        </w:rPr>
      </w:pPr>
      <w:r>
        <w:rPr>
          <w:lang w:val="en-US"/>
        </w:rPr>
      </w:r>
    </w:p>
    <w:p>
      <w:pPr>
        <w:pStyle w:val="BodyText"/>
        <w:spacing w:lineRule="auto" w:line="312"/>
        <w:rPr>
          <w:lang w:val="en-US"/>
        </w:rPr>
      </w:pPr>
      <w:r>
        <w:rPr>
          <w:lang w:val="en-US"/>
        </w:rPr>
        <w:t>5.</w:t>
        <w:tab/>
        <w:t>Beneficiary will be the sole responsible for the payment of all taxes levied by virtue of the exercise of a stock option.  The grant of options may be exercised only during Beneficiary’s employment and while Beneficiary remains employed by the Company.  If Beneficiary’s employment with the Company terminates by (i) Beneficiary’s initiative, Beneficiary may exercise stock options granted under this Plan at any time during the three month period following the date of such event, up to the number of unexercised vested stock options Beneficiary is entitled to as of the date of such event resulting in the Beneficiary’s termination; if (ii) Company’s initiative based on performance criteria or (iii) due to the ceasing of Company’s operation in Brazil, Beneficiary may exercise stock options granted under this Plan at any time during the three year period following the date of such event, up to the number of unexercised vested stock options Beneficiary is entitled to as of the date of such event resulting in the Beneficiary’s termination; or if (iv) any other reason than the events stated above, Beneficiary may exercise stock options granted under this Plan on the date of termination, up to the number of unexercised vested stock options Beneficiary is entitled to as of the date of such event resulting in the Beneficiary’s termination.</w:t>
      </w:r>
    </w:p>
    <w:p>
      <w:pPr>
        <w:pStyle w:val="BodyText"/>
        <w:spacing w:lineRule="auto" w:line="312"/>
        <w:rPr>
          <w:lang w:val="en-US"/>
        </w:rPr>
      </w:pPr>
      <w:r>
        <w:rPr>
          <w:lang w:val="en-US"/>
        </w:rPr>
      </w:r>
    </w:p>
    <w:p>
      <w:pPr>
        <w:pStyle w:val="BodyText"/>
        <w:spacing w:lineRule="auto" w:line="312"/>
        <w:rPr>
          <w:lang w:val="en-US"/>
        </w:rPr>
      </w:pPr>
      <w:r>
        <w:rPr>
          <w:lang w:val="en-US"/>
        </w:rPr>
        <w:t>6.</w:t>
        <w:tab/>
        <w:t>Ancillary to the benefit granted under this Agreement, Beneficiary agrees that he/she will be subject to non-compete obligation at any time during or for the period of three months after Beneficiary’s employment with the Company.  Beneficiary will not, directly or indirectly, including but not limited to, engage in any business which is contrary to the interests of the Company, Enron Corp. or its affiliates/subsidiaries.  Moreover, Beneficiary will not engage in any business which the Company is already doing, has engaged in in the preceding 12-month period or has plans to engage in.  Beneficiary will not engage in activities relating to Enron’s business to the extent that Beneficiary has knowledge or information about such activities.  Beneficiary will not render service or services to, or otherwise assist, any other person, association or entity in the business which is contrary to the interests of the Company, Enron Corp. or its affiliates/subsidiaries.  Beneficiary agrees that Company’s determination as to whether a violation of obligation contained hereunder was committed shall be conclusive.</w:t>
      </w:r>
    </w:p>
    <w:p>
      <w:pPr>
        <w:pStyle w:val="BodyText"/>
        <w:spacing w:lineRule="auto" w:line="312"/>
        <w:rPr>
          <w:lang w:val="en-US"/>
        </w:rPr>
      </w:pPr>
      <w:r>
        <w:rPr>
          <w:lang w:val="en-US"/>
        </w:rPr>
      </w:r>
    </w:p>
    <w:p>
      <w:pPr>
        <w:pStyle w:val="BodyText"/>
        <w:spacing w:lineRule="auto" w:line="312"/>
        <w:rPr>
          <w:lang w:val="en-US"/>
        </w:rPr>
      </w:pPr>
      <w:r>
        <w:rPr>
          <w:lang w:val="en-US"/>
        </w:rPr>
        <w:t>7.</w:t>
        <w:tab/>
        <w:t>The terms of this Agreement constitute confidential information, which Beneficiary shall not disclose to anyone other than his/her spouse, attorney’s, tax advisors, or as required by law. Disclosure of these terms is a material breach of this Agreement and could be subject Beneficiary to disciplinary action, including without limitation, termination for cause.  Moreover, the Company has already provided Beneficiary with immediate access to Confidential Information relating to Company’s confidential and/or proprietary information and/or trade secrets that have been and/or will be developed or used and that cannot be obtained readily by third parties from outside sources.  Beneficiary also have had immediate access to, or knowledge of, Confidential Information of third parties.  Beneficiary agrees that he/she will not, at any time during or after Beneficiary’s employment with the Company, make any unauthorized disclosure of any Confidential Information of the Company, Enron Corp., its affiliates/subsidiaries or third parties, or make any use thereof, except in working for the Company.</w:t>
      </w:r>
    </w:p>
    <w:p>
      <w:pPr>
        <w:pStyle w:val="BodyText"/>
        <w:spacing w:lineRule="auto" w:line="312"/>
        <w:rPr>
          <w:lang w:val="en-US"/>
        </w:rPr>
      </w:pPr>
      <w:r>
        <w:rPr>
          <w:lang w:val="en-US"/>
        </w:rPr>
      </w:r>
    </w:p>
    <w:p>
      <w:pPr>
        <w:pStyle w:val="BodyText"/>
        <w:spacing w:lineRule="auto" w:line="312"/>
        <w:rPr/>
      </w:pPr>
      <w:r>
        <w:rPr>
          <w:lang w:val="en-US"/>
        </w:rPr>
        <w:t>8.</w:t>
        <w:tab/>
        <w:t xml:space="preserve">Beneficiary agrees that for </w:t>
      </w:r>
      <w:r>
        <w:rPr>
          <w:b/>
          <w:lang w:val="en-US"/>
        </w:rPr>
        <w:t>[insert number]</w:t>
      </w:r>
      <w:r>
        <w:rPr>
          <w:lang w:val="en-US"/>
        </w:rPr>
        <w:t xml:space="preserve"> months after Beneficiary’s voluntary or involuntary termination of employment, Beneficiary will not call on, service, or solicit competing business from customers of Company, Enron Corp. or its affiliates/subsidiaries if, within the twenty-four months before the termination of employment, Beneficiary had or made contact with the customer, or had access to information and files about the customer.  Beneficiary also agrees that, during Beneficiary’s employment, and for a period of </w:t>
      </w:r>
      <w:r>
        <w:rPr>
          <w:b/>
          <w:lang w:val="en-US"/>
        </w:rPr>
        <w:t>[insert number]</w:t>
      </w:r>
      <w:r>
        <w:rPr>
          <w:lang w:val="en-US"/>
        </w:rPr>
        <w:t xml:space="preserve"> months following Beneficiary’s voluntary or involuntary termination of employment, Beneficiary will not, directly or indirectly, call on, solicit, or induce any Company or Enron Employee whom Beneficiary had contact with, knowledge of, or association with in the course of employment with Company to terminate employment from Company or Enron, and will not assist any other person or entity in such activities.</w:t>
      </w:r>
    </w:p>
    <w:p>
      <w:pPr>
        <w:pStyle w:val="BodyText"/>
        <w:spacing w:lineRule="auto" w:line="312"/>
        <w:rPr>
          <w:lang w:val="en-US"/>
        </w:rPr>
      </w:pPr>
      <w:r>
        <w:rPr>
          <w:lang w:val="en-US"/>
        </w:rPr>
      </w:r>
    </w:p>
    <w:p>
      <w:pPr>
        <w:pStyle w:val="BodyText"/>
        <w:spacing w:lineRule="auto" w:line="312"/>
        <w:rPr>
          <w:lang w:val="en-US"/>
        </w:rPr>
      </w:pPr>
      <w:r>
        <w:rPr>
          <w:lang w:val="en-US"/>
        </w:rPr>
        <w:t>9.</w:t>
        <w:tab/>
        <w:t>This retention plan is a beneficial agreement that shall be interpreted on a restricted basis, according to article 1090 of the Brazilian Civil Code.</w:t>
      </w:r>
    </w:p>
    <w:p>
      <w:pPr>
        <w:pStyle w:val="BodyText"/>
        <w:spacing w:lineRule="auto" w:line="312"/>
        <w:rPr>
          <w:lang w:val="en-US"/>
        </w:rPr>
      </w:pPr>
      <w:r>
        <w:rPr>
          <w:lang w:val="en-US"/>
        </w:rPr>
      </w:r>
    </w:p>
    <w:p>
      <w:pPr>
        <w:pStyle w:val="BodyText"/>
        <w:spacing w:lineRule="auto" w:line="312"/>
        <w:rPr>
          <w:lang w:val="en-US"/>
        </w:rPr>
      </w:pPr>
      <w:r>
        <w:rPr>
          <w:lang w:val="en-US"/>
        </w:rPr>
        <w:t>By placing your signature below, you agree with the provisions set out in this Agreement and to be bound by the obligations contained herein.</w:t>
      </w:r>
    </w:p>
    <w:p>
      <w:pPr>
        <w:pStyle w:val="BodyText"/>
        <w:spacing w:lineRule="auto" w:line="312"/>
        <w:rPr>
          <w:lang w:val="en-US"/>
        </w:rPr>
      </w:pPr>
      <w:r>
        <w:rPr>
          <w:lang w:val="en-US"/>
        </w:rPr>
      </w:r>
    </w:p>
    <w:p>
      <w:pPr>
        <w:pStyle w:val="BodyText"/>
        <w:spacing w:lineRule="auto" w:line="312"/>
        <w:rPr>
          <w:lang w:val="en-US"/>
        </w:rPr>
      </w:pPr>
      <w:r>
        <w:rPr>
          <w:lang w:val="en-US"/>
        </w:rPr>
      </w:r>
    </w:p>
    <w:p>
      <w:pPr>
        <w:pStyle w:val="BodyText"/>
        <w:spacing w:lineRule="auto" w:line="312"/>
        <w:rPr>
          <w:lang w:val="en-US"/>
        </w:rPr>
      </w:pPr>
      <w:r>
        <w:rPr>
          <w:lang w:val="en-US"/>
        </w:rPr>
        <w:t>___________________________</w:t>
        <w:tab/>
        <w:tab/>
        <w:tab/>
        <w:tab/>
        <w:t>__________________________</w:t>
      </w:r>
    </w:p>
    <w:p>
      <w:pPr>
        <w:pStyle w:val="BodyText"/>
        <w:spacing w:lineRule="auto" w:line="312"/>
        <w:rPr>
          <w:lang w:val="en-US"/>
        </w:rPr>
      </w:pPr>
      <w:r>
        <w:rPr>
          <w:b/>
          <w:lang w:val="en-US"/>
        </w:rPr>
        <w:t>[insert Beneficiary’s name]</w:t>
      </w:r>
      <w:r>
        <w:rPr>
          <w:lang w:val="en-US"/>
        </w:rPr>
        <w:tab/>
        <w:tab/>
        <w:tab/>
        <w:tab/>
        <w:tab/>
      </w:r>
      <w:r>
        <w:rPr>
          <w:b/>
          <w:lang w:val="en-US"/>
        </w:rPr>
        <w:t>Enron América do Sul Ltda.</w:t>
      </w:r>
    </w:p>
    <w:p>
      <w:pPr>
        <w:pStyle w:val="BodyText"/>
        <w:spacing w:lineRule="auto" w:line="312"/>
        <w:rPr>
          <w:lang w:val="en-US"/>
        </w:rPr>
      </w:pPr>
      <w:r>
        <w:rPr>
          <w:lang w:val="en-US"/>
        </w:rPr>
      </w:r>
    </w:p>
    <w:sectPr>
      <w:headerReference w:type="default" r:id="rId2"/>
      <w:headerReference w:type="first" r:id="rId3"/>
      <w:type w:val="nextPage"/>
      <w:pgSz w:w="12240" w:h="15840"/>
      <w:pgMar w:left="1701" w:right="1701" w:gutter="0" w:header="720" w:top="1417" w:footer="0" w:bottom="1417"/>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pPr>
    <w:r>
      <w:rPr/>
    </w:r>
    <w:r>
      <mc:AlternateContent>
        <mc:Choice Requires="wps">
          <w:drawing>
            <wp:anchor behindDoc="0" distT="0" distB="0" distL="0" distR="0" simplePos="0" locked="0" layoutInCell="0" allowOverlap="1" relativeHeight="4">
              <wp:simplePos x="0" y="0"/>
              <wp:positionH relativeFrom="margin">
                <wp:align>right</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36.85pt;mso-position-horizontal:right;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0" w:hanging="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pt-BR" w:eastAsia="zh-CN" w:bidi="hi-I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5z0">
    <w:name w:val="WW8Num5z0"/>
    <w:qFormat/>
    <w:rPr/>
  </w:style>
  <w:style w:type="character" w:styleId="Fontepargpadro">
    <w:name w:val="Fonte parág. padrão"/>
    <w:qFormat/>
    <w:rPr/>
  </w:style>
  <w:style w:type="character" w:styleId="PageNumber">
    <w:name w:val="page number"/>
    <w:basedOn w:val="Fontepargpadro"/>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360"/>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eticao">
    <w:name w:val="peticao"/>
    <w:basedOn w:val="Normal"/>
    <w:qFormat/>
    <w:pPr>
      <w:numPr>
        <w:ilvl w:val="0"/>
        <w:numId w:val="1"/>
      </w:numPr>
      <w:tabs>
        <w:tab w:val="clear" w:pos="708"/>
        <w:tab w:val="left" w:pos="1276" w:leader="none"/>
      </w:tabs>
      <w:spacing w:lineRule="auto" w:line="312" w:before="240" w:after="240"/>
    </w:pPr>
    <w:rPr>
      <w:sz w:val="24"/>
    </w:rPr>
  </w:style>
  <w:style w:type="paragraph" w:styleId="HeaderandFooter">
    <w:name w:val="Header and Footer"/>
    <w:basedOn w:val="Normal"/>
    <w:qFormat/>
    <w:pPr>
      <w:suppressLineNumbers/>
      <w:tabs>
        <w:tab w:val="clear" w:pos="708"/>
        <w:tab w:val="center" w:pos="4986" w:leader="none"/>
        <w:tab w:val="right" w:pos="9972" w:leader="none"/>
      </w:tabs>
    </w:pPr>
    <w:rPr/>
  </w:style>
  <w:style w:type="paragraph" w:styleId="Header">
    <w:name w:val="header"/>
    <w:basedOn w:val="Normal"/>
    <w:pPr>
      <w:tabs>
        <w:tab w:val="clear" w:pos="708"/>
        <w:tab w:val="center" w:pos="4419" w:leader="none"/>
        <w:tab w:val="right" w:pos="8838"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2001-07-23T15:19:00Z</dcterms:created>
  <dc:creator>Tatiana Rodrigues</dc:creator>
  <dc:description/>
  <dc:language>en-CA</dc:language>
  <cp:lastModifiedBy>Eduardo Ribeiro Toledo</cp:lastModifiedBy>
  <cp:lastPrinted>2001-07-23T16:32:00Z</cp:lastPrinted>
  <dcterms:modified xsi:type="dcterms:W3CDTF">2001-07-23T17:58:00Z</dcterms:modified>
  <cp:revision>5</cp:revision>
  <dc:subject/>
  <dc:title>Minuta apenas para</dc:title>
</cp:coreProperties>
</file>