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center"/>
        <w:rPr/>
      </w:pPr>
      <w:r>
        <w:rPr/>
        <w:t>IMAD TAREEN</w:t>
      </w:r>
    </w:p>
    <w:p>
      <w:pPr>
        <w:pStyle w:val="Normal"/>
        <w:jc w:val="center"/>
        <w:rPr/>
      </w:pPr>
      <w:r>
        <w:rPr/>
        <w:t>909 Texas Street</w:t>
      </w:r>
    </w:p>
    <w:p>
      <w:pPr>
        <w:pStyle w:val="Normal"/>
        <w:jc w:val="center"/>
        <w:rPr/>
      </w:pPr>
      <w:r>
        <w:rPr/>
        <w:t>Houston, TX, 77002</w:t>
      </w:r>
    </w:p>
    <w:p>
      <w:pPr>
        <w:pStyle w:val="Normal"/>
        <w:jc w:val="center"/>
        <w:rPr/>
      </w:pPr>
      <w:r>
        <w:rPr/>
        <w:t>Phone: (713) 853 7908</w:t>
      </w:r>
    </w:p>
    <w:p>
      <w:pPr>
        <w:pStyle w:val="Normal"/>
        <w:jc w:val="center"/>
        <w:rPr>
          <w:sz w:val="19"/>
        </w:rPr>
      </w:pPr>
      <w:r>
        <w:rPr/>
        <w:t>tareeni@hotmail.com</w:t>
      </w:r>
    </w:p>
    <w:p>
      <w:pPr>
        <w:pStyle w:val="Normal"/>
        <w:rPr>
          <w:sz w:val="19"/>
        </w:rPr>
      </w:pPr>
      <w:r>
        <w:rPr>
          <w:sz w:val="19"/>
        </w:rPr>
      </w:r>
    </w:p>
    <w:p>
      <w:pPr>
        <w:pStyle w:val="Normal"/>
        <w:jc w:val="center"/>
        <w:rPr>
          <w:sz w:val="19"/>
        </w:rPr>
      </w:pPr>
      <w:r>
        <w:rPr>
          <w:sz w:val="19"/>
        </w:rPr>
      </w:r>
    </w:p>
    <w:tbl>
      <w:tblPr>
        <w:tblW w:w="10908" w:type="dxa"/>
        <w:jc w:val="start"/>
        <w:tblInd w:w="0" w:type="dxa"/>
        <w:tblLayout w:type="fixed"/>
        <w:tblCellMar>
          <w:top w:w="0" w:type="dxa"/>
          <w:start w:w="108" w:type="dxa"/>
          <w:bottom w:w="0" w:type="dxa"/>
          <w:end w:w="108" w:type="dxa"/>
        </w:tblCellMar>
      </w:tblPr>
      <w:tblGrid>
        <w:gridCol w:w="1458"/>
        <w:gridCol w:w="9450"/>
      </w:tblGrid>
      <w:tr>
        <w:trPr/>
        <w:tc>
          <w:tcPr>
            <w:tcW w:w="1458" w:type="dxa"/>
            <w:tcBorders/>
          </w:tcPr>
          <w:p>
            <w:pPr>
              <w:pStyle w:val="Normal"/>
              <w:rPr>
                <w:b/>
              </w:rPr>
            </w:pPr>
            <w:r>
              <w:rPr>
                <w:b/>
              </w:rPr>
              <w:t>Experience</w:t>
            </w:r>
          </w:p>
          <w:p>
            <w:pPr>
              <w:pStyle w:val="Normal"/>
              <w:rPr/>
            </w:pPr>
            <w:r>
              <w:rPr/>
              <w:t>1999-Present</w:t>
            </w:r>
          </w:p>
          <w:p>
            <w:pPr>
              <w:pStyle w:val="Normal"/>
              <w:ind w:end="432"/>
              <w:rPr/>
            </w:pPr>
            <w:r>
              <w:rPr/>
            </w:r>
          </w:p>
        </w:tc>
        <w:tc>
          <w:tcPr>
            <w:tcW w:w="9450" w:type="dxa"/>
            <w:tcBorders/>
          </w:tcPr>
          <w:p>
            <w:pPr>
              <w:pStyle w:val="Heading1"/>
              <w:ind w:hanging="0" w:start="0"/>
              <w:jc w:val="both"/>
              <w:rPr>
                <w:sz w:val="20"/>
              </w:rPr>
            </w:pPr>
            <w:r>
              <w:rPr>
                <w:sz w:val="20"/>
              </w:rPr>
              <w:t xml:space="preserve">ENRON CORPORATION                                                                                                                     </w:t>
            </w:r>
            <w:r>
              <w:rPr>
                <w:b w:val="false"/>
                <w:sz w:val="20"/>
              </w:rPr>
              <w:t>Houston, TX</w:t>
            </w:r>
          </w:p>
          <w:p>
            <w:pPr>
              <w:pStyle w:val="Normal"/>
              <w:jc w:val="both"/>
              <w:rPr/>
            </w:pPr>
            <w:r>
              <w:rPr>
                <w:b/>
              </w:rPr>
              <w:t>Associate</w:t>
            </w:r>
            <w:r>
              <w:rPr/>
              <w:t xml:space="preserve"> </w:t>
            </w:r>
          </w:p>
          <w:p>
            <w:pPr>
              <w:pStyle w:val="Normal"/>
              <w:numPr>
                <w:ilvl w:val="0"/>
                <w:numId w:val="2"/>
              </w:numPr>
              <w:jc w:val="both"/>
              <w:rPr/>
            </w:pPr>
            <w:r>
              <w:rPr/>
              <w:t>Co- Developed business plan to create the world’s first forward market in semiconductors and B2B site. Initiated direct contact with senior management of leading electronic and semiconductor companies. Negotiated terms for future business relationships.  Business Plan under consideration by Enron Broadband Services.</w:t>
            </w:r>
          </w:p>
          <w:p>
            <w:pPr>
              <w:pStyle w:val="Normal"/>
              <w:numPr>
                <w:ilvl w:val="0"/>
                <w:numId w:val="2"/>
              </w:numPr>
              <w:jc w:val="both"/>
              <w:rPr/>
            </w:pPr>
            <w:r>
              <w:rPr/>
              <w:t xml:space="preserve">Supervised pool of analysts in </w:t>
            </w:r>
            <w:r>
              <w:rPr>
                <w:color w:val="000000"/>
                <w:lang w:eastAsia="en-US"/>
              </w:rPr>
              <w:t>analyzing equity investments and structuring debt financing (up to four projects at any given time) by Enron in pulp and paper, petrochemicals, plastics and metals industries. Represented Enron in negotiations with investment banks and clients.</w:t>
            </w:r>
          </w:p>
          <w:p>
            <w:pPr>
              <w:pStyle w:val="Normal"/>
              <w:numPr>
                <w:ilvl w:val="0"/>
                <w:numId w:val="3"/>
              </w:numPr>
              <w:jc w:val="both"/>
              <w:rPr/>
            </w:pPr>
            <w:r>
              <w:rPr/>
              <w:t xml:space="preserve">Identified new green-field projects for Enron and pitched Enron as a possible project partner. Analyzed business plans for companies requiring capital investment and structured financing for distressed companies. </w:t>
            </w:r>
          </w:p>
          <w:p>
            <w:pPr>
              <w:pStyle w:val="Normal"/>
              <w:jc w:val="both"/>
              <w:rPr>
                <w:b/>
              </w:rPr>
            </w:pPr>
            <w:r>
              <w:rPr>
                <w:b/>
              </w:rPr>
            </w:r>
          </w:p>
        </w:tc>
      </w:tr>
      <w:tr>
        <w:trPr/>
        <w:tc>
          <w:tcPr>
            <w:tcW w:w="1458" w:type="dxa"/>
            <w:tcBorders/>
          </w:tcPr>
          <w:p>
            <w:pPr>
              <w:pStyle w:val="Normal"/>
              <w:rPr>
                <w:b/>
              </w:rPr>
            </w:pPr>
            <w:r>
              <w:rPr/>
              <w:t>1999</w:t>
            </w:r>
          </w:p>
          <w:p>
            <w:pPr>
              <w:pStyle w:val="Normal"/>
              <w:rPr>
                <w:b/>
              </w:rPr>
            </w:pPr>
            <w:r>
              <w:rPr>
                <w:b/>
              </w:rPr>
            </w:r>
          </w:p>
          <w:p>
            <w:pPr>
              <w:pStyle w:val="Normal"/>
              <w:rPr/>
            </w:pPr>
            <w:r>
              <w:rPr/>
            </w:r>
          </w:p>
          <w:p>
            <w:pPr>
              <w:pStyle w:val="Normal"/>
              <w:rPr>
                <w:b/>
              </w:rPr>
            </w:pPr>
            <w:r>
              <w:rPr>
                <w:b/>
              </w:rPr>
            </w:r>
          </w:p>
        </w:tc>
        <w:tc>
          <w:tcPr>
            <w:tcW w:w="9450" w:type="dxa"/>
            <w:tcBorders/>
          </w:tcPr>
          <w:p>
            <w:pPr>
              <w:pStyle w:val="Heading1"/>
              <w:ind w:hanging="0" w:start="0"/>
              <w:jc w:val="both"/>
              <w:rPr/>
            </w:pPr>
            <w:r>
              <w:rPr>
                <w:sz w:val="20"/>
              </w:rPr>
              <w:t xml:space="preserve">HARVARD UNIVERSITY                                                                                                                      </w:t>
            </w:r>
            <w:r>
              <w:rPr>
                <w:b w:val="false"/>
                <w:sz w:val="20"/>
              </w:rPr>
              <w:t>Boston, MA</w:t>
            </w:r>
          </w:p>
          <w:p>
            <w:pPr>
              <w:pStyle w:val="Normal"/>
              <w:jc w:val="both"/>
              <w:rPr/>
            </w:pPr>
            <w:r>
              <w:rPr>
                <w:b/>
              </w:rPr>
              <w:t xml:space="preserve">Course Assistant: </w:t>
            </w:r>
            <w:r>
              <w:rPr/>
              <w:t>Assisted professors in preparing and presenting lectures on financial management of private and nonprofit institutions.  Led class discussions and helped students understand capital budgeting and forecasting problems during weekly class review sessions.</w:t>
            </w:r>
          </w:p>
          <w:p>
            <w:pPr>
              <w:pStyle w:val="Normal"/>
              <w:jc w:val="both"/>
              <w:rPr/>
            </w:pPr>
            <w:r>
              <w:rPr/>
            </w:r>
          </w:p>
        </w:tc>
      </w:tr>
      <w:tr>
        <w:trPr/>
        <w:tc>
          <w:tcPr>
            <w:tcW w:w="1458" w:type="dxa"/>
            <w:tcBorders/>
          </w:tcPr>
          <w:p>
            <w:pPr>
              <w:pStyle w:val="Normal"/>
              <w:rPr/>
            </w:pPr>
            <w:r>
              <w:rPr/>
              <w:t>1998</w:t>
            </w:r>
          </w:p>
          <w:p>
            <w:pPr>
              <w:pStyle w:val="Normal"/>
              <w:rPr/>
            </w:pPr>
            <w:r>
              <w:rPr/>
            </w:r>
          </w:p>
          <w:p>
            <w:pPr>
              <w:pStyle w:val="Normal"/>
              <w:rPr/>
            </w:pPr>
            <w:r>
              <w:rPr/>
            </w:r>
          </w:p>
          <w:p>
            <w:pPr>
              <w:pStyle w:val="Normal"/>
              <w:rPr/>
            </w:pPr>
            <w:r>
              <w:rPr/>
            </w:r>
          </w:p>
          <w:p>
            <w:pPr>
              <w:pStyle w:val="Normal"/>
              <w:rPr/>
            </w:pPr>
            <w:r>
              <w:rPr/>
            </w:r>
          </w:p>
          <w:p>
            <w:pPr>
              <w:pStyle w:val="Normal"/>
              <w:rPr>
                <w:b/>
              </w:rPr>
            </w:pPr>
            <w:r>
              <w:rPr/>
              <w:t>1996-1997</w:t>
            </w:r>
          </w:p>
        </w:tc>
        <w:tc>
          <w:tcPr>
            <w:tcW w:w="9450" w:type="dxa"/>
            <w:tcBorders/>
          </w:tcPr>
          <w:p>
            <w:pPr>
              <w:pStyle w:val="Normal"/>
              <w:jc w:val="both"/>
              <w:rPr>
                <w:b/>
              </w:rPr>
            </w:pPr>
            <w:r>
              <w:rPr>
                <w:b/>
              </w:rPr>
              <w:t>ENRON CORPORATION</w:t>
            </w:r>
          </w:p>
          <w:p>
            <w:pPr>
              <w:pStyle w:val="Normal"/>
              <w:jc w:val="both"/>
              <w:rPr/>
            </w:pPr>
            <w:r>
              <w:rPr>
                <w:b/>
              </w:rPr>
              <w:t>Summer Associate:</w:t>
            </w:r>
            <w:r>
              <w:rPr/>
              <w:t xml:space="preserve"> Identified and forecasted the evolution of electricity, gas and water markets in select group of countries from closed to fully competitive markets, also identified business opportunities for Enron at each stage of market evolution.</w:t>
            </w:r>
          </w:p>
          <w:p>
            <w:pPr>
              <w:pStyle w:val="Normal"/>
              <w:jc w:val="both"/>
              <w:rPr>
                <w:b/>
              </w:rPr>
            </w:pPr>
            <w:r>
              <w:rPr>
                <w:b/>
              </w:rPr>
            </w:r>
          </w:p>
          <w:p>
            <w:pPr>
              <w:pStyle w:val="Normal"/>
              <w:jc w:val="both"/>
              <w:rPr/>
            </w:pPr>
            <w:r>
              <w:rPr>
                <w:b/>
              </w:rPr>
              <w:t>CHASE MANHATTAN BANK. N.A.</w:t>
            </w:r>
            <w:r>
              <w:rPr/>
              <w:t xml:space="preserve"> (Chase Global)                                                                           Boston, MA</w:t>
            </w:r>
          </w:p>
        </w:tc>
      </w:tr>
      <w:tr>
        <w:trPr/>
        <w:tc>
          <w:tcPr>
            <w:tcW w:w="1458" w:type="dxa"/>
            <w:tcBorders/>
          </w:tcPr>
          <w:p>
            <w:pPr>
              <w:pStyle w:val="Normal"/>
              <w:snapToGrid w:val="false"/>
              <w:rPr>
                <w:b/>
                <w:sz w:val="19"/>
              </w:rPr>
            </w:pPr>
            <w:r>
              <w:rPr>
                <w:b/>
                <w:sz w:val="19"/>
              </w:rPr>
            </w:r>
          </w:p>
        </w:tc>
        <w:tc>
          <w:tcPr>
            <w:tcW w:w="9450" w:type="dxa"/>
            <w:tcBorders/>
          </w:tcPr>
          <w:p>
            <w:pPr>
              <w:pStyle w:val="Normal"/>
              <w:jc w:val="both"/>
              <w:rPr/>
            </w:pPr>
            <w:r>
              <w:rPr>
                <w:b/>
              </w:rPr>
              <w:t>Fund Analyst:</w:t>
            </w:r>
            <w:r>
              <w:rPr/>
              <w:t xml:space="preserve"> Prepared accounting reports for investment income recognition and regulated investment income financial reporting and analyzed domestic and international investment security types for equity investments for fund managers.</w:t>
            </w:r>
          </w:p>
          <w:p>
            <w:pPr>
              <w:pStyle w:val="Normal"/>
              <w:numPr>
                <w:ilvl w:val="0"/>
                <w:numId w:val="5"/>
              </w:numPr>
              <w:jc w:val="both"/>
              <w:rPr/>
            </w:pPr>
            <w:r>
              <w:rPr/>
              <w:t>Conducted daily accounting of funds; forecasted and invested short term cash for several domestic and international mutual funds resulting in  100% correct valuation of these funds.</w:t>
            </w:r>
          </w:p>
          <w:p>
            <w:pPr>
              <w:pStyle w:val="Normal"/>
              <w:numPr>
                <w:ilvl w:val="0"/>
                <w:numId w:val="5"/>
              </w:numPr>
              <w:jc w:val="both"/>
              <w:rPr/>
            </w:pPr>
            <w:r>
              <w:rPr/>
              <w:t>Solved daily queries of fund managers on policy and investment issues and evaluated the true value of domestic and international equities requiring solid understanding of global capital markets, value drivers of a company and financial instruments such as currency and interest rate swaps.</w:t>
            </w:r>
          </w:p>
          <w:p>
            <w:pPr>
              <w:pStyle w:val="Normal"/>
              <w:numPr>
                <w:ilvl w:val="0"/>
                <w:numId w:val="5"/>
              </w:numPr>
              <w:jc w:val="both"/>
              <w:rPr/>
            </w:pPr>
            <w:r>
              <w:rPr/>
              <w:t>Participated in developing and testing of new fund accounting share redemption and subscription computer system for Chase Global.</w:t>
            </w:r>
          </w:p>
          <w:p>
            <w:pPr>
              <w:pStyle w:val="Normal"/>
              <w:jc w:val="both"/>
              <w:rPr/>
            </w:pPr>
            <w:r>
              <w:rPr/>
            </w:r>
          </w:p>
        </w:tc>
      </w:tr>
      <w:tr>
        <w:trPr>
          <w:trHeight w:val="216" w:hRule="atLeast"/>
        </w:trPr>
        <w:tc>
          <w:tcPr>
            <w:tcW w:w="1458" w:type="dxa"/>
            <w:tcBorders/>
          </w:tcPr>
          <w:p>
            <w:pPr>
              <w:pStyle w:val="Normal"/>
              <w:rPr>
                <w:b/>
              </w:rPr>
            </w:pPr>
            <w:r>
              <w:rPr/>
              <w:t>Summer 1995</w:t>
            </w:r>
          </w:p>
        </w:tc>
        <w:tc>
          <w:tcPr>
            <w:tcW w:w="9450" w:type="dxa"/>
            <w:tcBorders/>
          </w:tcPr>
          <w:p>
            <w:pPr>
              <w:pStyle w:val="Heading2"/>
              <w:ind w:hanging="0" w:start="0"/>
              <w:jc w:val="both"/>
              <w:rPr>
                <w:sz w:val="20"/>
              </w:rPr>
            </w:pPr>
            <w:r>
              <w:rPr>
                <w:sz w:val="20"/>
              </w:rPr>
              <w:t xml:space="preserve">CITICORP                                                                                                                                        </w:t>
            </w:r>
            <w:r>
              <w:rPr>
                <w:b w:val="false"/>
                <w:sz w:val="20"/>
              </w:rPr>
              <w:t>Sydney, Australia</w:t>
            </w:r>
          </w:p>
        </w:tc>
      </w:tr>
      <w:tr>
        <w:trPr/>
        <w:tc>
          <w:tcPr>
            <w:tcW w:w="1458" w:type="dxa"/>
            <w:tcBorders/>
          </w:tcPr>
          <w:p>
            <w:pPr>
              <w:pStyle w:val="Normal"/>
              <w:snapToGrid w:val="false"/>
              <w:rPr>
                <w:b/>
                <w:sz w:val="19"/>
              </w:rPr>
            </w:pPr>
            <w:r>
              <w:rPr>
                <w:b/>
                <w:sz w:val="19"/>
              </w:rPr>
            </w:r>
          </w:p>
          <w:p>
            <w:pPr>
              <w:pStyle w:val="Normal"/>
              <w:rPr>
                <w:b/>
              </w:rPr>
            </w:pPr>
            <w:r>
              <w:rPr>
                <w:b/>
              </w:rPr>
            </w:r>
          </w:p>
        </w:tc>
        <w:tc>
          <w:tcPr>
            <w:tcW w:w="9450" w:type="dxa"/>
            <w:tcBorders/>
          </w:tcPr>
          <w:p>
            <w:pPr>
              <w:pStyle w:val="Normal"/>
              <w:jc w:val="both"/>
              <w:rPr/>
            </w:pPr>
            <w:r>
              <w:rPr>
                <w:b/>
              </w:rPr>
              <w:t>Associate Financial Analyst:</w:t>
            </w:r>
            <w:r>
              <w:rPr/>
              <w:t xml:space="preserve"> Prepared feasibility and technical study for the implementation of a proposed distribution channel initiative that resulted in creation of unmanned full service banks in Sydney.</w:t>
            </w:r>
          </w:p>
          <w:p>
            <w:pPr>
              <w:pStyle w:val="Normal"/>
              <w:numPr>
                <w:ilvl w:val="0"/>
                <w:numId w:val="5"/>
              </w:numPr>
              <w:jc w:val="both"/>
              <w:rPr/>
            </w:pPr>
            <w:r>
              <w:rPr/>
              <w:t>Conducted detailed cost benefit analysis of the project incorporating a sensitivity analysis of the profitability of the initiative in terms of technological changes and possible reaction of the competition.</w:t>
            </w:r>
          </w:p>
          <w:p>
            <w:pPr>
              <w:pStyle w:val="Normal"/>
              <w:numPr>
                <w:ilvl w:val="0"/>
                <w:numId w:val="5"/>
              </w:numPr>
              <w:jc w:val="both"/>
              <w:rPr/>
            </w:pPr>
            <w:r>
              <w:rPr/>
              <w:t>Forecasted the indirect effect of the project on other areas of the bank.</w:t>
            </w:r>
          </w:p>
          <w:p>
            <w:pPr>
              <w:pStyle w:val="Normal"/>
              <w:jc w:val="both"/>
              <w:rPr/>
            </w:pPr>
            <w:r>
              <w:rPr/>
            </w:r>
          </w:p>
        </w:tc>
      </w:tr>
      <w:tr>
        <w:trPr/>
        <w:tc>
          <w:tcPr>
            <w:tcW w:w="1458" w:type="dxa"/>
            <w:tcBorders/>
          </w:tcPr>
          <w:p>
            <w:pPr>
              <w:pStyle w:val="Normal"/>
              <w:rPr>
                <w:b/>
              </w:rPr>
            </w:pPr>
            <w:r>
              <w:rPr>
                <w:b/>
              </w:rPr>
              <w:t>Education</w:t>
            </w:r>
          </w:p>
        </w:tc>
        <w:tc>
          <w:tcPr>
            <w:tcW w:w="9450" w:type="dxa"/>
            <w:tcBorders/>
          </w:tcPr>
          <w:p>
            <w:pPr>
              <w:pStyle w:val="Normal"/>
              <w:jc w:val="both"/>
              <w:rPr/>
            </w:pPr>
            <w:r>
              <w:rPr>
                <w:b/>
              </w:rPr>
              <w:t>HARVARD UNIVERSITY</w:t>
            </w:r>
            <w:r>
              <w:rPr/>
              <w:t xml:space="preserve">, </w:t>
            </w:r>
            <w:r>
              <w:rPr>
                <w:b/>
              </w:rPr>
              <w:t xml:space="preserve">John F. Kennedy School of Government                                         </w:t>
            </w:r>
            <w:r>
              <w:rPr/>
              <w:t>Cambridge, MA</w:t>
            </w:r>
          </w:p>
        </w:tc>
      </w:tr>
      <w:tr>
        <w:trPr/>
        <w:tc>
          <w:tcPr>
            <w:tcW w:w="1458" w:type="dxa"/>
            <w:tcBorders/>
          </w:tcPr>
          <w:p>
            <w:pPr>
              <w:pStyle w:val="Normal"/>
              <w:snapToGrid w:val="false"/>
              <w:rPr>
                <w:b/>
                <w:sz w:val="19"/>
              </w:rPr>
            </w:pPr>
            <w:r>
              <w:rPr>
                <w:b/>
                <w:sz w:val="19"/>
              </w:rPr>
            </w:r>
          </w:p>
        </w:tc>
        <w:tc>
          <w:tcPr>
            <w:tcW w:w="9450" w:type="dxa"/>
            <w:tcBorders/>
          </w:tcPr>
          <w:p>
            <w:pPr>
              <w:pStyle w:val="Normal"/>
              <w:jc w:val="both"/>
              <w:rPr/>
            </w:pPr>
            <w:r>
              <w:rPr/>
              <w:t xml:space="preserve">Master of Public Policy, June 1999.  Course work in Statistics, Negotiations, Political Analysis and International Development. </w:t>
            </w:r>
          </w:p>
          <w:p>
            <w:pPr>
              <w:pStyle w:val="Normal"/>
              <w:jc w:val="both"/>
              <w:rPr/>
            </w:pPr>
            <w:r>
              <w:rPr/>
            </w:r>
          </w:p>
        </w:tc>
      </w:tr>
      <w:tr>
        <w:trPr/>
        <w:tc>
          <w:tcPr>
            <w:tcW w:w="1458" w:type="dxa"/>
            <w:tcBorders/>
          </w:tcPr>
          <w:p>
            <w:pPr>
              <w:pStyle w:val="Normal"/>
              <w:snapToGrid w:val="false"/>
              <w:rPr>
                <w:b/>
                <w:sz w:val="19"/>
              </w:rPr>
            </w:pPr>
            <w:r>
              <w:rPr>
                <w:b/>
                <w:sz w:val="19"/>
              </w:rPr>
            </w:r>
          </w:p>
        </w:tc>
        <w:tc>
          <w:tcPr>
            <w:tcW w:w="9450" w:type="dxa"/>
            <w:tcBorders/>
          </w:tcPr>
          <w:p>
            <w:pPr>
              <w:pStyle w:val="Heading4"/>
              <w:ind w:hanging="0" w:start="0"/>
              <w:rPr/>
            </w:pPr>
            <w:r>
              <w:rPr/>
              <w:t xml:space="preserve">NORTHEASTERN UNIVERSITY                                                                                                         </w:t>
            </w:r>
            <w:r>
              <w:rPr>
                <w:b w:val="false"/>
              </w:rPr>
              <w:t>Boston, MA</w:t>
            </w:r>
          </w:p>
          <w:p>
            <w:pPr>
              <w:pStyle w:val="Normal"/>
              <w:jc w:val="both"/>
              <w:rPr/>
            </w:pPr>
            <w:r>
              <w:rPr/>
              <w:t>Master of Business Administration, Finance Major, June 1996.</w:t>
            </w:r>
          </w:p>
          <w:p>
            <w:pPr>
              <w:pStyle w:val="Normal"/>
              <w:jc w:val="both"/>
              <w:rPr/>
            </w:pPr>
            <w:r>
              <w:rPr/>
            </w:r>
          </w:p>
        </w:tc>
      </w:tr>
      <w:tr>
        <w:trPr/>
        <w:tc>
          <w:tcPr>
            <w:tcW w:w="1458" w:type="dxa"/>
            <w:tcBorders/>
          </w:tcPr>
          <w:p>
            <w:pPr>
              <w:pStyle w:val="Normal"/>
              <w:snapToGrid w:val="false"/>
              <w:rPr>
                <w:b/>
                <w:sz w:val="19"/>
              </w:rPr>
            </w:pPr>
            <w:r>
              <w:rPr>
                <w:b/>
                <w:sz w:val="19"/>
              </w:rPr>
            </w:r>
          </w:p>
        </w:tc>
        <w:tc>
          <w:tcPr>
            <w:tcW w:w="9450" w:type="dxa"/>
            <w:tcBorders/>
          </w:tcPr>
          <w:p>
            <w:pPr>
              <w:pStyle w:val="Normal"/>
              <w:jc w:val="both"/>
              <w:rPr/>
            </w:pPr>
            <w:r>
              <w:rPr>
                <w:b/>
              </w:rPr>
              <w:t xml:space="preserve">UNIVERSITY OF TECHNOLOGY SYDNEY                                                                           </w:t>
            </w:r>
            <w:r>
              <w:rPr/>
              <w:t>Sydney</w:t>
            </w:r>
            <w:r>
              <w:rPr>
                <w:b/>
              </w:rPr>
              <w:t xml:space="preserve"> </w:t>
            </w:r>
            <w:r>
              <w:rPr/>
              <w:t>, Australia</w:t>
            </w:r>
          </w:p>
          <w:p>
            <w:pPr>
              <w:pStyle w:val="Normal"/>
              <w:jc w:val="both"/>
              <w:rPr/>
            </w:pPr>
            <w:r>
              <w:rPr/>
              <w:t>Bachelor of Business, Accounting  &amp; Finance Major, June 1994.</w:t>
            </w:r>
          </w:p>
          <w:p>
            <w:pPr>
              <w:pStyle w:val="Normal"/>
              <w:jc w:val="both"/>
              <w:rPr/>
            </w:pPr>
            <w:r>
              <w:rPr/>
            </w:r>
          </w:p>
        </w:tc>
      </w:tr>
      <w:tr>
        <w:trPr/>
        <w:tc>
          <w:tcPr>
            <w:tcW w:w="1458" w:type="dxa"/>
            <w:tcBorders/>
          </w:tcPr>
          <w:p>
            <w:pPr>
              <w:pStyle w:val="Normal"/>
              <w:rPr>
                <w:b/>
              </w:rPr>
            </w:pPr>
            <w:r>
              <w:rPr>
                <w:b/>
              </w:rPr>
              <w:t>Skills</w:t>
            </w:r>
          </w:p>
        </w:tc>
        <w:tc>
          <w:tcPr>
            <w:tcW w:w="9450" w:type="dxa"/>
            <w:tcBorders/>
          </w:tcPr>
          <w:p>
            <w:pPr>
              <w:pStyle w:val="Normal"/>
              <w:numPr>
                <w:ilvl w:val="0"/>
                <w:numId w:val="4"/>
              </w:numPr>
              <w:rPr/>
            </w:pPr>
            <w:r>
              <w:rPr/>
              <w:t>Business planning and development, initiating contacts, structuring deals and negotiating with clients.</w:t>
            </w:r>
          </w:p>
          <w:p>
            <w:pPr>
              <w:pStyle w:val="Normal"/>
              <w:numPr>
                <w:ilvl w:val="0"/>
                <w:numId w:val="4"/>
              </w:numPr>
              <w:rPr/>
            </w:pPr>
            <w:r>
              <w:rPr/>
              <w:t>Quantifying risks involving uncertain cash flows.</w:t>
            </w:r>
          </w:p>
          <w:p>
            <w:pPr>
              <w:pStyle w:val="Normal"/>
              <w:numPr>
                <w:ilvl w:val="0"/>
                <w:numId w:val="5"/>
              </w:numPr>
              <w:rPr>
                <w:b/>
              </w:rPr>
            </w:pPr>
            <w:r>
              <w:rPr/>
              <w:t>Statistical analysis, e.g. Monte Carlo Simulations, Scenario Analysis.</w:t>
            </w:r>
          </w:p>
        </w:tc>
      </w:tr>
    </w:tbl>
    <w:p>
      <w:pPr>
        <w:pStyle w:val="Normal"/>
        <w:rPr>
          <w:sz w:val="19"/>
        </w:rPr>
      </w:pPr>
      <w:r>
        <w:rPr>
          <w:sz w:val="19"/>
        </w:rPr>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both"/>
      <w:outlineLvl w:val="3"/>
    </w:pPr>
    <w:rPr>
      <w:b/>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firstLine="1458" w:start="-1458" w:end="0"/>
      <w:jc w:val="both"/>
      <w:outlineLvl w:val="5"/>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2000-09-13T17:05:00Z</dcterms:created>
  <dc:creator>Mark Lopes</dc:creator>
  <dc:description/>
  <dc:language>en-CA</dc:language>
  <cp:lastModifiedBy>itareen</cp:lastModifiedBy>
  <cp:lastPrinted>2000-08-24T10:16:00Z</cp:lastPrinted>
  <dcterms:modified xsi:type="dcterms:W3CDTF">2000-09-13T17:05:00Z</dcterms:modified>
  <cp:revision>2</cp:revision>
  <dc:subject/>
  <dc:title>ATTICUS FORD</dc:title>
</cp:coreProperties>
</file>