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485" w:type="dxa"/>
        <w:jc w:val="end"/>
        <w:tblInd w:w="0" w:type="dxa"/>
        <w:tblLayout w:type="fixed"/>
        <w:tblCellMar>
          <w:top w:w="0" w:type="dxa"/>
          <w:start w:w="108" w:type="dxa"/>
          <w:bottom w:w="0" w:type="dxa"/>
          <w:end w:w="108" w:type="dxa"/>
        </w:tblCellMar>
      </w:tblPr>
      <w:tblGrid>
        <w:gridCol w:w="2160"/>
        <w:gridCol w:w="2325"/>
      </w:tblGrid>
      <w:tr>
        <w:trPr/>
        <w:tc>
          <w:tcPr>
            <w:tcW w:w="2160" w:type="dxa"/>
            <w:tcBorders/>
          </w:tcPr>
          <w:p>
            <w:pPr>
              <w:pStyle w:val="Address2"/>
              <w:rPr/>
            </w:pPr>
            <w:r>
              <w:rPr/>
              <w:t>4529 River Rd., NW,</w:t>
            </w:r>
          </w:p>
          <w:p>
            <w:pPr>
              <w:pStyle w:val="Address2"/>
              <w:rPr/>
            </w:pPr>
            <w:r>
              <w:rPr/>
              <w:t>Washington, DC 20016</w:t>
            </w:r>
          </w:p>
        </w:tc>
        <w:tc>
          <w:tcPr>
            <w:tcW w:w="2325" w:type="dxa"/>
            <w:tcBorders/>
          </w:tcPr>
          <w:p>
            <w:pPr>
              <w:pStyle w:val="Address1"/>
              <w:rPr/>
            </w:pPr>
            <w:r>
              <w:rPr/>
              <w:t>(202) 244-9653 (tel.&amp; fax)</w:t>
            </w:r>
          </w:p>
          <w:p>
            <w:pPr>
              <w:pStyle w:val="Address1"/>
              <w:rPr/>
            </w:pPr>
            <w:r>
              <w:rPr/>
              <w:t>email: eterry@mindspring.com</w:t>
            </w:r>
          </w:p>
        </w:tc>
      </w:tr>
    </w:tbl>
    <w:p>
      <w:pPr>
        <w:pStyle w:val="Name"/>
        <w:rPr/>
      </w:pPr>
      <w:r>
        <w:rPr/>
        <w:t>Edith Terry</w:t>
      </w:r>
    </w:p>
    <w:tbl>
      <w:tblPr>
        <w:tblW w:w="15494" w:type="dxa"/>
        <w:jc w:val="start"/>
        <w:tblInd w:w="0" w:type="dxa"/>
        <w:tblLayout w:type="fixed"/>
        <w:tblCellMar>
          <w:top w:w="0" w:type="dxa"/>
          <w:start w:w="108" w:type="dxa"/>
          <w:bottom w:w="0" w:type="dxa"/>
          <w:end w:w="108" w:type="dxa"/>
        </w:tblCellMar>
      </w:tblPr>
      <w:tblGrid>
        <w:gridCol w:w="2160"/>
        <w:gridCol w:w="6498"/>
        <w:gridCol w:w="270"/>
        <w:gridCol w:w="180"/>
        <w:gridCol w:w="90"/>
        <w:gridCol w:w="90"/>
        <w:gridCol w:w="6206"/>
      </w:tblGrid>
      <w:tr>
        <w:trPr/>
        <w:tc>
          <w:tcPr>
            <w:tcW w:w="2160" w:type="dxa"/>
            <w:tcBorders/>
          </w:tcPr>
          <w:p>
            <w:pPr>
              <w:pStyle w:val="SectionTitle"/>
              <w:spacing w:lineRule="atLeast" w:line="220" w:before="220" w:after="0"/>
              <w:rPr/>
            </w:pPr>
            <w:r>
              <w:rPr/>
              <w:t>Objective</w:t>
            </w:r>
          </w:p>
        </w:tc>
        <w:tc>
          <w:tcPr>
            <w:tcW w:w="6498" w:type="dxa"/>
            <w:tcBorders/>
          </w:tcPr>
          <w:p>
            <w:pPr>
              <w:pStyle w:val="Objective"/>
              <w:spacing w:lineRule="atLeast" w:line="220" w:before="240" w:after="220"/>
              <w:rPr/>
            </w:pPr>
            <w:r>
              <w:rPr/>
              <w:t>To add value by providing strategic advice and analysis on global business, economic, and political affairs</w:t>
            </w:r>
          </w:p>
        </w:tc>
        <w:tc>
          <w:tcPr>
            <w:tcW w:w="6836" w:type="dxa"/>
            <w:gridSpan w:val="5"/>
            <w:tcBorders/>
            <w:tcMar>
              <w:start w:w="0" w:type="dxa"/>
              <w:end w:w="0" w:type="dxa"/>
            </w:tcMar>
          </w:tcPr>
          <w:p>
            <w:pPr>
              <w:pStyle w:val="Normal"/>
              <w:snapToGrid w:val="false"/>
              <w:rPr/>
            </w:pPr>
            <w:r>
              <w:rPr/>
            </w:r>
          </w:p>
        </w:tc>
      </w:tr>
      <w:tr>
        <w:trPr/>
        <w:tc>
          <w:tcPr>
            <w:tcW w:w="2160" w:type="dxa"/>
            <w:tcBorders/>
          </w:tcPr>
          <w:p>
            <w:pPr>
              <w:pStyle w:val="SectionTitle"/>
              <w:spacing w:lineRule="atLeast" w:line="220" w:before="220" w:after="0"/>
              <w:rPr/>
            </w:pPr>
            <w:r>
              <w:rPr/>
              <w:t>Experience</w:t>
            </w:r>
          </w:p>
        </w:tc>
        <w:tc>
          <w:tcPr>
            <w:tcW w:w="7038" w:type="dxa"/>
            <w:gridSpan w:val="4"/>
            <w:tcBorders/>
          </w:tcPr>
          <w:p>
            <w:pPr>
              <w:pStyle w:val="CompanyNameOne"/>
              <w:spacing w:before="240" w:after="40"/>
              <w:rPr/>
            </w:pPr>
            <w:r>
              <w:rPr/>
              <w:t>1998 to present</w:t>
              <w:tab/>
              <w:t>Enron Corp.</w:t>
              <w:tab/>
              <w:t>Washington, DC</w:t>
            </w:r>
          </w:p>
          <w:p>
            <w:pPr>
              <w:pStyle w:val="JobTitle"/>
              <w:rPr/>
            </w:pPr>
            <w:r>
              <w:rPr/>
              <w:t>Manager, Global Affairs</w:t>
            </w:r>
          </w:p>
          <w:p>
            <w:pPr>
              <w:pStyle w:val="Achievement"/>
              <w:numPr>
                <w:ilvl w:val="0"/>
                <w:numId w:val="1"/>
              </w:numPr>
              <w:ind w:hanging="0" w:start="0"/>
              <w:rPr/>
            </w:pPr>
            <w:r>
              <w:rPr/>
              <w:t>Created market-opening strategy for Japan that put Japan’s $150 billion power sector on the US-Japan summit agenda</w:t>
            </w:r>
          </w:p>
          <w:p>
            <w:pPr>
              <w:pStyle w:val="Achievement"/>
              <w:numPr>
                <w:ilvl w:val="0"/>
                <w:numId w:val="1"/>
              </w:numPr>
              <w:ind w:hanging="0" w:start="0"/>
              <w:rPr/>
            </w:pPr>
            <w:r>
              <w:rPr/>
              <w:t>Designed energy services initiative for the Asia Pacific Economic Cooperation forum and World Trade Organization to open $1.6 trillion global market</w:t>
            </w:r>
          </w:p>
          <w:p>
            <w:pPr>
              <w:pStyle w:val="Achievement"/>
              <w:numPr>
                <w:ilvl w:val="0"/>
                <w:numId w:val="1"/>
              </w:numPr>
              <w:ind w:hanging="0" w:start="0"/>
              <w:rPr/>
            </w:pPr>
            <w:r>
              <w:rPr/>
              <w:t xml:space="preserve">Provided political intelligence on Korea that helped resolve $20 million tax liability </w:t>
            </w:r>
          </w:p>
          <w:p>
            <w:pPr>
              <w:pStyle w:val="Achievement"/>
              <w:numPr>
                <w:ilvl w:val="0"/>
                <w:numId w:val="1"/>
              </w:numPr>
              <w:ind w:hanging="0" w:start="0"/>
              <w:rPr/>
            </w:pPr>
            <w:r>
              <w:rPr/>
              <w:t>Represented Enron at major international conferences as speaker and participant on Asia-Pacific issues</w:t>
            </w:r>
          </w:p>
          <w:p>
            <w:pPr>
              <w:pStyle w:val="Achievement"/>
              <w:numPr>
                <w:ilvl w:val="0"/>
                <w:numId w:val="1"/>
              </w:numPr>
              <w:ind w:hanging="0" w:start="0"/>
              <w:rPr/>
            </w:pPr>
            <w:r>
              <w:rPr/>
              <w:t>Reporting to senior vice president for project finance, worked with international financial institutions to assess impact of Asian financial markets on Enron’s business, conducting detailed analysis of Korean corporate, banking, and energy sector reforms, Japanese energy sector reforms, and Indonesian elections</w:t>
            </w:r>
          </w:p>
          <w:p>
            <w:pPr>
              <w:pStyle w:val="Achievement"/>
              <w:numPr>
                <w:ilvl w:val="0"/>
                <w:numId w:val="1"/>
              </w:numPr>
              <w:ind w:hanging="0" w:start="0"/>
              <w:rPr/>
            </w:pPr>
            <w:r>
              <w:rPr/>
              <w:t>Provided strategic recommendations for government relations and business development in Japan, Korea, and Indonesia</w:t>
            </w:r>
          </w:p>
          <w:p>
            <w:pPr>
              <w:pStyle w:val="Achievement"/>
              <w:numPr>
                <w:ilvl w:val="0"/>
                <w:numId w:val="1"/>
              </w:numPr>
              <w:spacing w:before="0" w:after="60"/>
              <w:ind w:hanging="0" w:start="0"/>
              <w:rPr/>
            </w:pPr>
            <w:r>
              <w:rPr/>
              <w:t>Advised vice chairman of Enron and other senior executives on Asia-Pacific markets, politics, and regional organizations</w:t>
            </w:r>
          </w:p>
        </w:tc>
        <w:tc>
          <w:tcPr>
            <w:tcW w:w="6296" w:type="dxa"/>
            <w:gridSpan w:val="2"/>
            <w:tcBorders/>
            <w:tcMar>
              <w:start w:w="0" w:type="dxa"/>
              <w:end w:w="0" w:type="dxa"/>
            </w:tcMar>
          </w:tcPr>
          <w:p>
            <w:pPr>
              <w:pStyle w:val="Normal"/>
              <w:snapToGrid w:val="false"/>
              <w:rPr/>
            </w:pPr>
            <w:r>
              <w:rPr/>
            </w:r>
          </w:p>
        </w:tc>
      </w:tr>
      <w:tr>
        <w:trPr/>
        <w:tc>
          <w:tcPr>
            <w:tcW w:w="2160" w:type="dxa"/>
            <w:tcBorders/>
          </w:tcPr>
          <w:p>
            <w:pPr>
              <w:pStyle w:val="Normal"/>
              <w:snapToGrid w:val="false"/>
              <w:rPr/>
            </w:pPr>
            <w:r>
              <w:rPr/>
            </w:r>
          </w:p>
        </w:tc>
        <w:tc>
          <w:tcPr>
            <w:tcW w:w="7128" w:type="dxa"/>
            <w:gridSpan w:val="5"/>
            <w:tcBorders/>
          </w:tcPr>
          <w:p>
            <w:pPr>
              <w:pStyle w:val="CompanyName"/>
              <w:spacing w:lineRule="atLeast" w:line="220" w:before="240" w:after="40"/>
              <w:rPr/>
            </w:pPr>
            <w:r>
              <w:rPr/>
              <w:t>1992 to 1998                  Think Tanks and Universities      US and Asia</w:t>
            </w:r>
          </w:p>
          <w:p>
            <w:pPr>
              <w:pStyle w:val="JobTitle"/>
              <w:rPr/>
            </w:pPr>
            <w:r>
              <w:rPr/>
              <w:t>Visiting Fellow, International Economics and Politics</w:t>
            </w:r>
          </w:p>
          <w:p>
            <w:pPr>
              <w:pStyle w:val="Achievement"/>
              <w:numPr>
                <w:ilvl w:val="0"/>
                <w:numId w:val="1"/>
              </w:numPr>
              <w:ind w:hanging="0" w:start="0"/>
              <w:rPr/>
            </w:pPr>
            <w:r>
              <w:rPr/>
              <w:t>Positions at East-West Center (Honolulu, 1992-4), Japan Institute for International Affairs (Tokyo, 1994-6), Institute for Southeast Asian Studies (Singapore, 1996), and Economic Strategy Institute (Washington, DC, 1997-8)</w:t>
            </w:r>
          </w:p>
          <w:p>
            <w:pPr>
              <w:pStyle w:val="Achievement"/>
              <w:numPr>
                <w:ilvl w:val="0"/>
                <w:numId w:val="1"/>
              </w:numPr>
              <w:ind w:hanging="0" w:start="0"/>
              <w:rPr/>
            </w:pPr>
            <w:r>
              <w:rPr/>
              <w:t>Analyzed and tracked the crisis in Asian and emerging markets</w:t>
            </w:r>
          </w:p>
          <w:p>
            <w:pPr>
              <w:pStyle w:val="Achievement"/>
              <w:numPr>
                <w:ilvl w:val="0"/>
                <w:numId w:val="1"/>
              </w:numPr>
              <w:ind w:hanging="0" w:start="0"/>
              <w:rPr/>
            </w:pPr>
            <w:r>
              <w:rPr/>
              <w:t>Attracted $500,000 in grants and fellowships</w:t>
            </w:r>
          </w:p>
          <w:p>
            <w:pPr>
              <w:pStyle w:val="Achievement"/>
              <w:numPr>
                <w:ilvl w:val="0"/>
                <w:numId w:val="1"/>
              </w:numPr>
              <w:spacing w:before="0" w:after="60"/>
              <w:ind w:hanging="0" w:start="0"/>
              <w:rPr/>
            </w:pPr>
            <w:r>
              <w:rPr/>
              <w:t>Published numerous articles and a book on Japan’s $100 billion stake in Asia (forthcoming)</w:t>
            </w:r>
          </w:p>
        </w:tc>
        <w:tc>
          <w:tcPr>
            <w:tcW w:w="6206" w:type="dxa"/>
            <w:tcBorders/>
            <w:tcMar>
              <w:start w:w="0" w:type="dxa"/>
              <w:end w:w="0" w:type="dxa"/>
            </w:tcMar>
          </w:tcPr>
          <w:p>
            <w:pPr>
              <w:pStyle w:val="Normal"/>
              <w:snapToGrid w:val="false"/>
              <w:rPr/>
            </w:pPr>
            <w:r>
              <w:rPr/>
            </w:r>
          </w:p>
        </w:tc>
      </w:tr>
      <w:tr>
        <w:trPr/>
        <w:tc>
          <w:tcPr>
            <w:tcW w:w="2160" w:type="dxa"/>
            <w:tcBorders/>
          </w:tcPr>
          <w:p>
            <w:pPr>
              <w:pStyle w:val="Normal"/>
              <w:snapToGrid w:val="false"/>
              <w:rPr/>
            </w:pPr>
            <w:r>
              <w:rPr/>
            </w:r>
          </w:p>
        </w:tc>
        <w:tc>
          <w:tcPr>
            <w:tcW w:w="6948" w:type="dxa"/>
            <w:gridSpan w:val="3"/>
            <w:tcBorders/>
          </w:tcPr>
          <w:p>
            <w:pPr>
              <w:pStyle w:val="CompanyName"/>
              <w:spacing w:lineRule="atLeast" w:line="220" w:before="240" w:after="40"/>
              <w:rPr/>
            </w:pPr>
            <w:r>
              <w:rPr/>
              <w:t>1988 to 1992</w:t>
              <w:tab/>
              <w:t>Globe and Mail Newspaper</w:t>
              <w:tab/>
              <w:t>Tokyo, Japan</w:t>
            </w:r>
          </w:p>
          <w:p>
            <w:pPr>
              <w:pStyle w:val="JobTitle"/>
              <w:rPr/>
            </w:pPr>
            <w:r>
              <w:rPr/>
              <w:t>East Asian Economics Correspondent</w:t>
            </w:r>
          </w:p>
          <w:p>
            <w:pPr>
              <w:pStyle w:val="Achievement"/>
              <w:numPr>
                <w:ilvl w:val="0"/>
                <w:numId w:val="1"/>
              </w:numPr>
              <w:ind w:hanging="0" w:start="0"/>
              <w:rPr/>
            </w:pPr>
            <w:r>
              <w:rPr/>
              <w:t>Covered the rise and fall of Japan’s bubble economy</w:t>
            </w:r>
          </w:p>
          <w:p>
            <w:pPr>
              <w:pStyle w:val="Achievement"/>
              <w:numPr>
                <w:ilvl w:val="0"/>
                <w:numId w:val="1"/>
              </w:numPr>
              <w:ind w:hanging="0" w:start="0"/>
              <w:rPr/>
            </w:pPr>
            <w:r>
              <w:rPr/>
              <w:t xml:space="preserve">Covered regional business and economic trends in Japan, Korea, Taiwan, Singapore, Indonesia, Thailand and Malaysia </w:t>
            </w:r>
          </w:p>
          <w:p>
            <w:pPr>
              <w:pStyle w:val="Achievement"/>
              <w:numPr>
                <w:ilvl w:val="0"/>
                <w:numId w:val="0"/>
              </w:numPr>
              <w:spacing w:before="0" w:after="60"/>
              <w:ind w:hanging="0" w:start="0"/>
              <w:rPr/>
            </w:pPr>
            <w:r>
              <w:rPr/>
            </w:r>
          </w:p>
        </w:tc>
        <w:tc>
          <w:tcPr>
            <w:tcW w:w="6386" w:type="dxa"/>
            <w:gridSpan w:val="3"/>
            <w:tcBorders/>
            <w:tcMar>
              <w:start w:w="0" w:type="dxa"/>
              <w:end w:w="0" w:type="dxa"/>
            </w:tcMar>
          </w:tcPr>
          <w:p>
            <w:pPr>
              <w:pStyle w:val="Normal"/>
              <w:snapToGrid w:val="false"/>
              <w:rPr/>
            </w:pPr>
            <w:r>
              <w:rPr/>
            </w:r>
          </w:p>
        </w:tc>
      </w:tr>
      <w:tr>
        <w:trPr/>
        <w:tc>
          <w:tcPr>
            <w:tcW w:w="2160" w:type="dxa"/>
            <w:tcBorders/>
          </w:tcPr>
          <w:p>
            <w:pPr>
              <w:pStyle w:val="Normal"/>
              <w:snapToGrid w:val="false"/>
              <w:rPr/>
            </w:pPr>
            <w:r>
              <w:rPr/>
            </w:r>
          </w:p>
        </w:tc>
        <w:tc>
          <w:tcPr>
            <w:tcW w:w="6768" w:type="dxa"/>
            <w:gridSpan w:val="2"/>
            <w:tcBorders/>
          </w:tcPr>
          <w:p>
            <w:pPr>
              <w:pStyle w:val="CompanyName"/>
              <w:spacing w:lineRule="atLeast" w:line="220" w:before="240" w:after="40"/>
              <w:rPr/>
            </w:pPr>
            <w:r>
              <w:rPr/>
              <w:t>1983 to 1988</w:t>
              <w:tab/>
              <w:t>Business Week Magazine</w:t>
              <w:tab/>
              <w:t>New York, Toronto</w:t>
            </w:r>
          </w:p>
          <w:p>
            <w:pPr>
              <w:pStyle w:val="JobTitle"/>
              <w:rPr/>
            </w:pPr>
            <w:r>
              <w:rPr/>
              <w:t>Correspondent</w:t>
            </w:r>
          </w:p>
          <w:p>
            <w:pPr>
              <w:pStyle w:val="Achievement"/>
              <w:numPr>
                <w:ilvl w:val="0"/>
                <w:numId w:val="1"/>
              </w:numPr>
              <w:ind w:hanging="0" w:start="0"/>
              <w:rPr/>
            </w:pPr>
            <w:r>
              <w:rPr/>
              <w:t>Covered Canadian business, economy, and politics</w:t>
            </w:r>
          </w:p>
          <w:p>
            <w:pPr>
              <w:pStyle w:val="CompanyName"/>
              <w:rPr/>
            </w:pPr>
            <w:r>
              <w:rPr/>
              <w:t>1980 to 1983</w:t>
              <w:tab/>
              <w:t>Altman Inc.</w:t>
              <w:tab/>
              <w:t>Beijing</w:t>
            </w:r>
          </w:p>
          <w:p>
            <w:pPr>
              <w:pStyle w:val="JobTitle"/>
              <w:rPr/>
            </w:pPr>
            <w:r>
              <w:rPr/>
              <w:t>China Director</w:t>
            </w:r>
          </w:p>
          <w:p>
            <w:pPr>
              <w:pStyle w:val="Achievement"/>
              <w:numPr>
                <w:ilvl w:val="0"/>
                <w:numId w:val="1"/>
              </w:numPr>
              <w:ind w:hanging="0" w:start="0"/>
              <w:rPr/>
            </w:pPr>
            <w:r>
              <w:rPr/>
              <w:t xml:space="preserve">Managed market entry strategy of multinational corporate clients </w:t>
            </w:r>
          </w:p>
          <w:p>
            <w:pPr>
              <w:pStyle w:val="Achievement"/>
              <w:numPr>
                <w:ilvl w:val="0"/>
                <w:numId w:val="1"/>
              </w:numPr>
              <w:ind w:hanging="0" w:start="0"/>
              <w:rPr/>
            </w:pPr>
            <w:r>
              <w:rPr/>
              <w:t>Provided competitive intelligence on markets for energy, construction equipment, pharmaceuticals, and scientific equipment</w:t>
            </w:r>
          </w:p>
          <w:p>
            <w:pPr>
              <w:pStyle w:val="Achievement"/>
              <w:numPr>
                <w:ilvl w:val="0"/>
                <w:numId w:val="1"/>
              </w:numPr>
              <w:ind w:hanging="0" w:start="0"/>
              <w:rPr/>
            </w:pPr>
            <w:r>
              <w:rPr/>
              <w:t>Provided political intelligence on Chinese market reforms to clients</w:t>
            </w:r>
          </w:p>
          <w:p>
            <w:pPr>
              <w:pStyle w:val="CompanyName"/>
              <w:rPr/>
            </w:pPr>
            <w:r>
              <w:rPr/>
              <w:t>1976 to 1980</w:t>
              <w:tab/>
              <w:t xml:space="preserve">National Council for US-China Trade Washington, DC </w:t>
            </w:r>
          </w:p>
          <w:p>
            <w:pPr>
              <w:pStyle w:val="CompanyName"/>
              <w:rPr/>
            </w:pPr>
            <w:r>
              <w:rPr/>
              <w:t>Associate Editor</w:t>
            </w:r>
          </w:p>
          <w:p>
            <w:pPr>
              <w:pStyle w:val="Achievement"/>
              <w:numPr>
                <w:ilvl w:val="0"/>
                <w:numId w:val="1"/>
              </w:numPr>
              <w:ind w:hanging="0" w:start="0"/>
              <w:rPr/>
            </w:pPr>
            <w:r>
              <w:rPr/>
              <w:t xml:space="preserve">Covered the early stages of China’s economic reforms  </w:t>
            </w:r>
          </w:p>
          <w:p>
            <w:pPr>
              <w:pStyle w:val="Achievement"/>
              <w:numPr>
                <w:ilvl w:val="0"/>
                <w:numId w:val="1"/>
              </w:numPr>
              <w:ind w:hanging="0" w:start="0"/>
              <w:rPr/>
            </w:pPr>
            <w:r>
              <w:rPr/>
              <w:t xml:space="preserve">Wrote and edited articles on US-China </w:t>
            </w:r>
          </w:p>
          <w:p>
            <w:pPr>
              <w:pStyle w:val="Achievement"/>
              <w:numPr>
                <w:ilvl w:val="0"/>
                <w:numId w:val="1"/>
              </w:numPr>
              <w:ind w:hanging="0" w:start="0"/>
              <w:rPr/>
            </w:pPr>
            <w:r>
              <w:rPr/>
              <w:t>Advised corporate clients on business opportunities in China</w:t>
            </w:r>
          </w:p>
          <w:p>
            <w:pPr>
              <w:pStyle w:val="Achievement"/>
              <w:numPr>
                <w:ilvl w:val="0"/>
                <w:numId w:val="0"/>
              </w:numPr>
              <w:spacing w:before="0" w:after="60"/>
              <w:ind w:hanging="0" w:start="0"/>
              <w:rPr/>
            </w:pPr>
            <w:r>
              <w:rPr/>
            </w:r>
          </w:p>
        </w:tc>
        <w:tc>
          <w:tcPr>
            <w:tcW w:w="6566" w:type="dxa"/>
            <w:gridSpan w:val="4"/>
            <w:tcBorders/>
            <w:tcMar>
              <w:start w:w="0" w:type="dxa"/>
              <w:end w:w="0" w:type="dxa"/>
            </w:tcMar>
          </w:tcPr>
          <w:p>
            <w:pPr>
              <w:pStyle w:val="Normal"/>
              <w:snapToGrid w:val="false"/>
              <w:rPr/>
            </w:pPr>
            <w:r>
              <w:rPr/>
            </w:r>
          </w:p>
        </w:tc>
      </w:tr>
      <w:tr>
        <w:trPr/>
        <w:tc>
          <w:tcPr>
            <w:tcW w:w="2160" w:type="dxa"/>
            <w:tcBorders/>
          </w:tcPr>
          <w:p>
            <w:pPr>
              <w:pStyle w:val="SectionTitle"/>
              <w:spacing w:lineRule="atLeast" w:line="220" w:before="220" w:after="0"/>
              <w:rPr/>
            </w:pPr>
            <w:r>
              <w:rPr/>
              <w:t>Education</w:t>
            </w:r>
          </w:p>
        </w:tc>
        <w:tc>
          <w:tcPr>
            <w:tcW w:w="6768" w:type="dxa"/>
            <w:gridSpan w:val="2"/>
            <w:tcBorders/>
          </w:tcPr>
          <w:p>
            <w:pPr>
              <w:pStyle w:val="Institution"/>
              <w:spacing w:lineRule="atLeast" w:line="220" w:before="240" w:after="60"/>
              <w:rPr/>
            </w:pPr>
            <w:r>
              <w:rPr/>
              <w:t>1997-98</w:t>
              <w:tab/>
              <w:t xml:space="preserve">Paul H. Nitze School of Advanced International Studies (Johns Hopkins Univ.)   </w:t>
              <w:tab/>
              <w:t>Washington, DC</w:t>
            </w:r>
          </w:p>
          <w:p>
            <w:pPr>
              <w:pStyle w:val="Achievement"/>
              <w:numPr>
                <w:ilvl w:val="0"/>
                <w:numId w:val="1"/>
              </w:numPr>
              <w:ind w:hanging="0" w:start="0"/>
              <w:rPr/>
            </w:pPr>
            <w:r>
              <w:rPr/>
              <w:t>Masters in International Public Policy</w:t>
            </w:r>
          </w:p>
          <w:p>
            <w:pPr>
              <w:pStyle w:val="Institution"/>
              <w:rPr/>
            </w:pPr>
            <w:r>
              <w:rPr/>
              <w:t>1974-75</w:t>
              <w:tab/>
              <w:t xml:space="preserve">Stanford University   </w:t>
              <w:tab/>
              <w:t>Stanford, California</w:t>
            </w:r>
          </w:p>
          <w:p>
            <w:pPr>
              <w:pStyle w:val="Achievement"/>
              <w:numPr>
                <w:ilvl w:val="0"/>
                <w:numId w:val="1"/>
              </w:numPr>
              <w:ind w:hanging="0" w:start="0"/>
              <w:rPr/>
            </w:pPr>
            <w:r>
              <w:rPr/>
              <w:t>Masters Program in East Asian Studies (China)</w:t>
            </w:r>
          </w:p>
          <w:p>
            <w:pPr>
              <w:pStyle w:val="Institution"/>
              <w:rPr/>
            </w:pPr>
            <w:r>
              <w:rPr/>
              <w:t>1970-74</w:t>
              <w:tab/>
              <w:t xml:space="preserve">Yale University   </w:t>
              <w:tab/>
              <w:t>New Haven, Connecticut</w:t>
            </w:r>
          </w:p>
          <w:p>
            <w:pPr>
              <w:pStyle w:val="Achievement"/>
              <w:numPr>
                <w:ilvl w:val="0"/>
                <w:numId w:val="1"/>
              </w:numPr>
              <w:ind w:hanging="0" w:start="0"/>
              <w:rPr/>
            </w:pPr>
            <w:r>
              <w:rPr/>
              <w:t>Bachelor degree, Asian History</w:t>
            </w:r>
          </w:p>
          <w:p>
            <w:pPr>
              <w:pStyle w:val="Achievement"/>
              <w:numPr>
                <w:ilvl w:val="0"/>
                <w:numId w:val="1"/>
              </w:numPr>
              <w:ind w:hanging="0" w:start="0"/>
              <w:rPr/>
            </w:pPr>
            <w:r>
              <w:rPr/>
              <w:t>Second class of women at Yale</w:t>
            </w:r>
          </w:p>
          <w:p>
            <w:pPr>
              <w:pStyle w:val="Achievement"/>
              <w:numPr>
                <w:ilvl w:val="0"/>
                <w:numId w:val="0"/>
              </w:numPr>
              <w:spacing w:before="0" w:after="60"/>
              <w:ind w:hanging="0" w:start="0"/>
              <w:rPr/>
            </w:pPr>
            <w:r>
              <w:rPr/>
            </w:r>
          </w:p>
        </w:tc>
        <w:tc>
          <w:tcPr>
            <w:tcW w:w="6566" w:type="dxa"/>
            <w:gridSpan w:val="4"/>
            <w:tcBorders/>
            <w:tcMar>
              <w:start w:w="0" w:type="dxa"/>
              <w:end w:w="0" w:type="dxa"/>
            </w:tcMar>
          </w:tcPr>
          <w:p>
            <w:pPr>
              <w:pStyle w:val="Normal"/>
              <w:snapToGrid w:val="false"/>
              <w:rPr/>
            </w:pPr>
            <w:r>
              <w:rPr/>
            </w:r>
          </w:p>
        </w:tc>
      </w:tr>
      <w:tr>
        <w:trPr/>
        <w:tc>
          <w:tcPr>
            <w:tcW w:w="2160" w:type="dxa"/>
            <w:tcBorders/>
          </w:tcPr>
          <w:p>
            <w:pPr>
              <w:pStyle w:val="SectionTitle"/>
              <w:spacing w:lineRule="atLeast" w:line="220" w:before="220" w:after="0"/>
              <w:rPr/>
            </w:pPr>
            <w:r>
              <w:rPr/>
              <w:t>Languages</w:t>
            </w:r>
          </w:p>
        </w:tc>
        <w:tc>
          <w:tcPr>
            <w:tcW w:w="6768" w:type="dxa"/>
            <w:gridSpan w:val="2"/>
            <w:tcBorders/>
          </w:tcPr>
          <w:p>
            <w:pPr>
              <w:pStyle w:val="SectionTitle"/>
              <w:spacing w:before="220" w:after="0"/>
              <w:rPr>
                <w:rFonts w:ascii="Arial" w:hAnsi="Arial" w:cs="Arial"/>
              </w:rPr>
            </w:pPr>
            <w:r>
              <w:rPr>
                <w:rFonts w:cs="Arial" w:ascii="Arial" w:hAnsi="Arial"/>
              </w:rPr>
              <w:t>Fluent Chinese and Japanese; basic Korean, French, Italian, Spanish</w:t>
            </w:r>
          </w:p>
        </w:tc>
        <w:tc>
          <w:tcPr>
            <w:tcW w:w="6566" w:type="dxa"/>
            <w:gridSpan w:val="4"/>
            <w:tcBorders/>
          </w:tcPr>
          <w:p>
            <w:pPr>
              <w:pStyle w:val="Objective"/>
              <w:snapToGrid w:val="false"/>
              <w:spacing w:before="240" w:after="220"/>
              <w:rPr>
                <w:rFonts w:ascii="Arial" w:hAnsi="Arial" w:cs="Arial"/>
              </w:rPr>
            </w:pPr>
            <w:r>
              <w:rPr>
                <w:rFonts w:cs="Arial"/>
              </w:rPr>
            </w:r>
          </w:p>
        </w:tc>
      </w:tr>
      <w:tr>
        <w:trPr/>
        <w:tc>
          <w:tcPr>
            <w:tcW w:w="2160" w:type="dxa"/>
            <w:tcBorders/>
          </w:tcPr>
          <w:p>
            <w:pPr>
              <w:pStyle w:val="SectionTitle"/>
              <w:spacing w:lineRule="atLeast" w:line="220" w:before="220" w:after="0"/>
              <w:rPr/>
            </w:pPr>
            <w:r>
              <w:rPr/>
              <w:t>Books</w:t>
            </w:r>
          </w:p>
          <w:p>
            <w:pPr>
              <w:pStyle w:val="Normal"/>
              <w:rPr/>
            </w:pPr>
            <w:r>
              <w:rPr/>
            </w:r>
          </w:p>
          <w:p>
            <w:pPr>
              <w:pStyle w:val="Normal"/>
              <w:rPr/>
            </w:pPr>
            <w:r>
              <w:rPr/>
            </w:r>
          </w:p>
          <w:p>
            <w:pPr>
              <w:pStyle w:val="SectionTitle"/>
              <w:rPr/>
            </w:pPr>
            <w:r>
              <w:rPr/>
              <w:t>Interests</w:t>
            </w:r>
          </w:p>
          <w:p>
            <w:pPr>
              <w:pStyle w:val="SectionSubtitle"/>
              <w:spacing w:lineRule="auto" w:line="240" w:before="0" w:after="0"/>
              <w:rPr>
                <w:bCs/>
              </w:rPr>
            </w:pPr>
            <w:r>
              <w:rPr>
                <w:bCs/>
              </w:rPr>
            </w:r>
          </w:p>
        </w:tc>
        <w:tc>
          <w:tcPr>
            <w:tcW w:w="6768" w:type="dxa"/>
            <w:gridSpan w:val="2"/>
            <w:tcBorders/>
          </w:tcPr>
          <w:p>
            <w:pPr>
              <w:pStyle w:val="Objective"/>
              <w:spacing w:lineRule="atLeast" w:line="220" w:before="240" w:after="220"/>
              <w:rPr/>
            </w:pPr>
            <w:r>
              <w:rPr/>
              <w:t>How Asia Got Rich: Japan and the Asian Miracle (forthcoming); The Executive Guide to China (New York, John Wiley, 1984)</w:t>
            </w:r>
          </w:p>
          <w:p>
            <w:pPr>
              <w:pStyle w:val="Objective"/>
              <w:rPr/>
            </w:pPr>
            <w:r>
              <w:rPr/>
              <w:t>Chinese and Japanese art and archeology; cultural anthropology; scuba diving</w:t>
            </w:r>
          </w:p>
          <w:p>
            <w:pPr>
              <w:pStyle w:val="BodyText"/>
              <w:spacing w:lineRule="atLeast" w:line="220" w:before="0" w:after="220"/>
              <w:jc w:val="both"/>
              <w:rPr/>
            </w:pPr>
            <w:r>
              <w:rPr/>
            </w:r>
          </w:p>
        </w:tc>
        <w:tc>
          <w:tcPr>
            <w:tcW w:w="6566" w:type="dxa"/>
            <w:gridSpan w:val="4"/>
            <w:tcBorders/>
            <w:tcMar>
              <w:start w:w="0" w:type="dxa"/>
              <w:end w:w="0" w:type="dxa"/>
            </w:tcMar>
          </w:tcPr>
          <w:p>
            <w:pPr>
              <w:pStyle w:val="Normal"/>
              <w:snapToGrid w:val="false"/>
              <w:rPr/>
            </w:pPr>
            <w:r>
              <w:rPr/>
            </w:r>
          </w:p>
        </w:tc>
      </w:tr>
    </w:tbl>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45" w:hanging="245"/>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color w:val="auto"/>
      <w:sz w:val="22"/>
      <w:szCs w:val="20"/>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bCs w:val="false"/>
      <w:spacing w:val="-5"/>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hievement">
    <w:name w:val="Achievement"/>
    <w:basedOn w:val="BodyText"/>
    <w:qFormat/>
    <w:pPr>
      <w:numPr>
        <w:ilvl w:val="0"/>
        <w:numId w:val="1"/>
      </w:numPr>
      <w:spacing w:before="0" w:after="60"/>
    </w:pPr>
    <w:rPr/>
  </w:style>
  <w:style w:type="paragraph" w:styleId="Address1">
    <w:name w:val="Address 1"/>
    <w:basedOn w:val="Normal"/>
    <w:qFormat/>
    <w:pPr>
      <w:spacing w:lineRule="atLeast" w:line="160"/>
      <w:jc w:val="both"/>
    </w:pPr>
    <w:rPr>
      <w:bCs w:val="false"/>
      <w:sz w:val="14"/>
    </w:rPr>
  </w:style>
  <w:style w:type="paragraph" w:styleId="Address2">
    <w:name w:val="Address 2"/>
    <w:basedOn w:val="Normal"/>
    <w:qFormat/>
    <w:pPr>
      <w:spacing w:lineRule="atLeast" w:line="160"/>
      <w:jc w:val="both"/>
    </w:pPr>
    <w:rPr>
      <w:bCs w:val="false"/>
      <w:sz w:val="14"/>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b/>
      <w:sz w:val="20"/>
    </w:rPr>
  </w:style>
  <w:style w:type="paragraph" w:styleId="CompanyNameOne">
    <w:name w:val="Company Name One"/>
    <w:basedOn w:val="CompanyName"/>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tLeast" w:line="220"/>
      <w:ind w:hanging="0" w:start="-2160" w:end="0"/>
      <w:jc w:val="both"/>
    </w:pPr>
    <w:rPr>
      <w:bCs w:val="false"/>
      <w:sz w:val="20"/>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b/>
      <w:sz w:val="20"/>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bCs w:val="false"/>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bCs w:val="false"/>
      <w:spacing w:val="-10"/>
      <w:sz w:val="20"/>
    </w:rPr>
  </w:style>
  <w:style w:type="paragraph" w:styleId="Objective">
    <w:name w:val="Objective"/>
    <w:basedOn w:val="Normal"/>
    <w:next w:val="BodyText"/>
    <w:qFormat/>
    <w:pPr>
      <w:spacing w:lineRule="atLeast" w:line="220" w:before="240" w:after="220"/>
    </w:pPr>
    <w:rPr>
      <w:bCs w:val="false"/>
      <w:sz w:val="20"/>
    </w:rPr>
  </w:style>
  <w:style w:type="paragraph" w:styleId="SectionSubtitle">
    <w:name w:val="Section Subtitle"/>
    <w:basedOn w:val="SectionTitle"/>
    <w:next w:val="Normal"/>
    <w:qFormat/>
    <w:pPr/>
    <w:rPr>
      <w:b/>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2000-04-04T11:16:00Z</dcterms:created>
  <dc:creator>Edith Terry</dc:creator>
  <dc:description/>
  <dc:language>en-CA</dc:language>
  <cp:lastModifiedBy>Edith Terry</cp:lastModifiedBy>
  <dcterms:modified xsi:type="dcterms:W3CDTF">2000-04-04T16:18:00Z</dcterms:modified>
  <cp:revision>4</cp:revision>
  <dc:subject/>
  <dc:title>4529 River Rd</dc:title>
</cp:coreProperties>
</file>