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t>BANI ARORA</w:t>
      </w:r>
    </w:p>
    <w:p>
      <w:pPr>
        <w:pStyle w:val="Normal"/>
        <w:tabs>
          <w:tab w:val="clear" w:pos="720"/>
          <w:tab w:val="left" w:pos="5760" w:leader="none"/>
          <w:tab w:val="left" w:pos="5940" w:leader="none"/>
          <w:tab w:val="left" w:pos="6120" w:leader="none"/>
          <w:tab w:val="left" w:pos="7560" w:leader="none"/>
        </w:tabs>
        <w:rPr/>
      </w:pPr>
      <w:r>
        <w:rPr/>
        <w:t xml:space="preserve">9701 Meyer Forest Dr.#8305 </w:t>
        <w:tab/>
        <w:tab/>
        <w:tab/>
        <w:tab/>
        <w:t>Tel: (713) 853-0566 (work)</w:t>
      </w:r>
    </w:p>
    <w:p>
      <w:pPr>
        <w:pStyle w:val="Normal"/>
        <w:tabs>
          <w:tab w:val="clear" w:pos="720"/>
          <w:tab w:val="left" w:pos="5760" w:leader="none"/>
          <w:tab w:val="left" w:pos="5940" w:leader="none"/>
          <w:tab w:val="left" w:pos="6120" w:leader="none"/>
          <w:tab w:val="left" w:pos="7560" w:leader="none"/>
        </w:tabs>
        <w:rPr/>
      </w:pPr>
      <w:r>
        <w:rPr/>
        <w:t>Houston, Texas 77096</w:t>
        <w:tab/>
        <w:tab/>
        <w:tab/>
        <w:tab/>
        <w:t>Email: barora@enron.com</w:t>
      </w:r>
    </w:p>
    <w:p>
      <w:pPr>
        <w:pStyle w:val="Normal"/>
        <w:pBdr>
          <w:top w:val="single" w:sz="12" w:space="0" w:color="000000"/>
        </w:pBdr>
        <w:jc w:val="center"/>
        <w:rPr>
          <w:sz w:val="22"/>
        </w:rPr>
      </w:pPr>
      <w:r>
        <w:rPr>
          <w:sz w:val="22"/>
        </w:rPr>
      </w:r>
    </w:p>
    <w:p>
      <w:pPr>
        <w:pStyle w:val="Normal"/>
        <w:spacing w:lineRule="auto" w:line="120"/>
        <w:ind w:hanging="1800" w:start="1800" w:end="0"/>
        <w:rPr>
          <w:sz w:val="22"/>
        </w:rPr>
      </w:pPr>
      <w:r>
        <w:rPr>
          <w:sz w:val="22"/>
        </w:rPr>
        <w:t xml:space="preserve"> </w:t>
      </w:r>
    </w:p>
    <w:p>
      <w:pPr>
        <w:pStyle w:val="Normal"/>
        <w:tabs>
          <w:tab w:val="clear" w:pos="720"/>
          <w:tab w:val="left" w:pos="3600" w:leader="none"/>
          <w:tab w:val="left" w:pos="4680" w:leader="none"/>
          <w:tab w:val="left" w:pos="6390" w:leader="none"/>
          <w:tab w:val="left" w:pos="7200" w:leader="none"/>
          <w:tab w:val="left" w:pos="7740" w:leader="none"/>
          <w:tab w:val="left" w:pos="8820" w:leader="none"/>
        </w:tabs>
        <w:ind w:hanging="1800" w:start="1800" w:end="0"/>
        <w:rPr/>
      </w:pPr>
      <w:r>
        <w:rPr>
          <w:b/>
        </w:rPr>
        <w:t>EDUCATION</w:t>
      </w:r>
      <w:r>
        <w:rPr>
          <w:sz w:val="22"/>
        </w:rPr>
        <w:tab/>
      </w:r>
      <w:r>
        <w:rPr/>
        <w:t>MBA</w:t>
        <w:tab/>
        <w:tab/>
        <w:t>University of Houston</w:t>
        <w:tab/>
        <w:tab/>
        <w:t xml:space="preserve">Dec 1997 </w:t>
        <w:tab/>
        <w:t>GPA 3.87</w:t>
      </w:r>
    </w:p>
    <w:p>
      <w:pPr>
        <w:pStyle w:val="Normal"/>
        <w:tabs>
          <w:tab w:val="clear" w:pos="720"/>
          <w:tab w:val="left" w:pos="3600" w:leader="none"/>
          <w:tab w:val="left" w:pos="4680" w:leader="none"/>
          <w:tab w:val="left" w:pos="6390" w:leader="none"/>
          <w:tab w:val="left" w:pos="7200" w:leader="none"/>
          <w:tab w:val="left" w:pos="7740" w:leader="none"/>
          <w:tab w:val="left" w:pos="8820" w:leader="none"/>
        </w:tabs>
        <w:ind w:hanging="1800" w:start="1800" w:end="0"/>
        <w:rPr/>
      </w:pPr>
      <w:r>
        <w:rPr/>
        <w:tab/>
        <w:t>BS / MBA (Finance)</w:t>
        <w:tab/>
        <w:tab/>
        <w:t>Osmania University, India</w:t>
        <w:tab/>
        <w:tab/>
        <w:t xml:space="preserve">May 1995 </w:t>
        <w:tab/>
        <w:t>GPA 3.9</w:t>
      </w:r>
    </w:p>
    <w:p>
      <w:pPr>
        <w:pStyle w:val="Normal"/>
        <w:tabs>
          <w:tab w:val="clear" w:pos="720"/>
          <w:tab w:val="left" w:pos="3600" w:leader="none"/>
          <w:tab w:val="left" w:pos="4860" w:leader="none"/>
          <w:tab w:val="left" w:pos="6390" w:leader="none"/>
          <w:tab w:val="left" w:pos="7200" w:leader="none"/>
        </w:tabs>
        <w:spacing w:lineRule="auto" w:line="120"/>
        <w:ind w:hanging="1800" w:start="1800" w:end="0"/>
        <w:rPr/>
      </w:pPr>
      <w:r>
        <w:rPr/>
        <w:t xml:space="preserve"> </w:t>
      </w:r>
    </w:p>
    <w:p>
      <w:pPr>
        <w:pStyle w:val="Heading2"/>
        <w:ind w:hanging="0" w:start="0" w:end="0"/>
        <w:rPr/>
      </w:pPr>
      <w:r>
        <w:rPr/>
        <w:t>EXPERIENCE</w:t>
      </w:r>
    </w:p>
    <w:p>
      <w:pPr>
        <w:pStyle w:val="Heading3"/>
        <w:ind w:hanging="0" w:start="0"/>
        <w:rPr/>
      </w:pPr>
      <w:r>
        <w:rPr/>
        <w:t>Manager</w:t>
        <w:tab/>
        <w:t xml:space="preserve">       Enron Energy Services (EES)</w:t>
        <w:tab/>
        <w:tab/>
        <w:tab/>
        <w:tab/>
        <w:tab/>
        <w:tab/>
      </w:r>
      <w:r>
        <w:rPr>
          <w:b w:val="false"/>
          <w:i/>
          <w:sz w:val="20"/>
        </w:rPr>
        <w:t>(02/00-Present)</w:t>
      </w:r>
    </w:p>
    <w:p>
      <w:pPr>
        <w:pStyle w:val="Normal"/>
        <w:numPr>
          <w:ilvl w:val="0"/>
          <w:numId w:val="3"/>
        </w:numPr>
        <w:tabs>
          <w:tab w:val="clear" w:pos="720"/>
          <w:tab w:val="left" w:pos="2160" w:leader="none"/>
        </w:tabs>
        <w:ind w:hanging="360" w:start="2160" w:end="0"/>
        <w:rPr/>
      </w:pPr>
      <w:r>
        <w:rPr/>
        <w:t>Work with the sales team to structure and propose innovative and economical power-saving solutions (including options) to retail customers across different industries and closed deals worth $ 192 million in Total Contract Value.</w:t>
      </w:r>
    </w:p>
    <w:p>
      <w:pPr>
        <w:pStyle w:val="Normal"/>
        <w:numPr>
          <w:ilvl w:val="0"/>
          <w:numId w:val="3"/>
        </w:numPr>
        <w:tabs>
          <w:tab w:val="clear" w:pos="720"/>
          <w:tab w:val="left" w:pos="2160" w:leader="none"/>
        </w:tabs>
        <w:ind w:hanging="360" w:start="2160" w:end="0"/>
        <w:rPr/>
      </w:pPr>
      <w:r>
        <w:rPr/>
        <w:t>Manage the underwriting of risks for power transactions that EES offers our retail customers’ nation-wide.</w:t>
      </w:r>
    </w:p>
    <w:p>
      <w:pPr>
        <w:pStyle w:val="Normal"/>
        <w:tabs>
          <w:tab w:val="clear" w:pos="720"/>
          <w:tab w:val="left" w:pos="1800" w:leader="none"/>
        </w:tabs>
        <w:rPr>
          <w:b/>
          <w:sz w:val="21"/>
        </w:rPr>
      </w:pPr>
      <w:r>
        <w:rPr>
          <w:b/>
          <w:sz w:val="21"/>
        </w:rPr>
      </w:r>
    </w:p>
    <w:p>
      <w:pPr>
        <w:pStyle w:val="Normal"/>
        <w:tabs>
          <w:tab w:val="clear" w:pos="720"/>
          <w:tab w:val="left" w:pos="1800" w:leader="none"/>
        </w:tabs>
        <w:rPr/>
      </w:pPr>
      <w:r>
        <w:rPr>
          <w:b/>
          <w:sz w:val="21"/>
        </w:rPr>
        <w:t>Senior Specialist</w:t>
      </w:r>
      <w:r>
        <w:rPr>
          <w:sz w:val="21"/>
        </w:rPr>
        <w:tab/>
      </w:r>
      <w:r>
        <w:rPr>
          <w:b/>
          <w:sz w:val="21"/>
        </w:rPr>
        <w:t>Enron International</w:t>
      </w:r>
      <w:r>
        <w:rPr>
          <w:b/>
        </w:rPr>
        <w:t>(EI)</w:t>
      </w:r>
      <w:r>
        <w:rPr/>
        <w:tab/>
        <w:tab/>
        <w:tab/>
        <w:tab/>
        <w:tab/>
        <w:tab/>
        <w:tab/>
      </w:r>
      <w:r>
        <w:rPr>
          <w:i/>
        </w:rPr>
        <w:t>(01/99-02/00)</w:t>
      </w:r>
    </w:p>
    <w:p>
      <w:pPr>
        <w:pStyle w:val="Normal"/>
        <w:numPr>
          <w:ilvl w:val="0"/>
          <w:numId w:val="3"/>
        </w:numPr>
        <w:tabs>
          <w:tab w:val="clear" w:pos="720"/>
          <w:tab w:val="left" w:pos="2160" w:leader="none"/>
        </w:tabs>
        <w:ind w:hanging="360" w:start="2160" w:end="0"/>
        <w:rPr/>
      </w:pPr>
      <w:r>
        <w:rPr/>
        <w:t>Analyzed and researched the Japan power market to build forward price curves, and evaluated possible opportunities to structure deals for trading.</w:t>
      </w:r>
    </w:p>
    <w:p>
      <w:pPr>
        <w:pStyle w:val="Normal"/>
        <w:numPr>
          <w:ilvl w:val="0"/>
          <w:numId w:val="2"/>
        </w:numPr>
        <w:tabs>
          <w:tab w:val="clear" w:pos="720"/>
          <w:tab w:val="left" w:pos="2160" w:leader="none"/>
        </w:tabs>
        <w:ind w:hanging="360" w:start="2160" w:end="0"/>
        <w:rPr>
          <w:color w:val="000000"/>
        </w:rPr>
      </w:pPr>
      <w:r>
        <w:rPr>
          <w:color w:val="000000"/>
        </w:rPr>
        <w:t>Identified and developed strategies to evaluate and (un) bundle sovereign, and commodity risk and trade these alternative risk products in the insurance and commodity markets.</w:t>
      </w:r>
    </w:p>
    <w:p>
      <w:pPr>
        <w:pStyle w:val="Normal"/>
        <w:numPr>
          <w:ilvl w:val="0"/>
          <w:numId w:val="4"/>
        </w:numPr>
        <w:tabs>
          <w:tab w:val="clear" w:pos="720"/>
          <w:tab w:val="left" w:pos="2160" w:leader="none"/>
        </w:tabs>
        <w:rPr>
          <w:color w:val="000000"/>
        </w:rPr>
      </w:pPr>
      <w:r>
        <w:rPr/>
        <w:t>Evaluated risk model to quantify the effect of sovereign risk on EI's international asset portfolio and statistically analyze the optimal mix of purchasing political risk insurance vs. retaining risk to optimize risk mitigation and cost reduction</w:t>
      </w:r>
      <w:r>
        <w:rPr>
          <w:color w:val="000000"/>
        </w:rPr>
        <w:t>.</w:t>
      </w:r>
    </w:p>
    <w:p>
      <w:pPr>
        <w:pStyle w:val="BodyText"/>
        <w:numPr>
          <w:ilvl w:val="0"/>
          <w:numId w:val="0"/>
        </w:numPr>
        <w:ind w:hanging="0" w:start="1800" w:end="0"/>
        <w:rPr>
          <w:color w:val="000000"/>
        </w:rPr>
      </w:pPr>
      <w:r>
        <w:rPr>
          <w:color w:val="000000"/>
        </w:rPr>
      </w:r>
    </w:p>
    <w:p>
      <w:pPr>
        <w:pStyle w:val="Normal"/>
        <w:numPr>
          <w:ilvl w:val="0"/>
          <w:numId w:val="0"/>
        </w:numPr>
        <w:tabs>
          <w:tab w:val="clear" w:pos="720"/>
          <w:tab w:val="left" w:pos="1800" w:leader="none"/>
        </w:tabs>
        <w:ind w:hanging="0" w:start="0"/>
        <w:rPr>
          <w:sz w:val="22"/>
        </w:rPr>
      </w:pPr>
      <w:r>
        <w:rPr>
          <w:b/>
          <w:sz w:val="21"/>
        </w:rPr>
        <w:t xml:space="preserve">Specialist </w:t>
        <w:tab/>
        <w:t>Enron Capital and Trade Resources (ECT)</w:t>
      </w:r>
      <w:r>
        <w:rPr>
          <w:b/>
          <w:sz w:val="22"/>
        </w:rPr>
        <w:tab/>
        <w:tab/>
        <w:tab/>
        <w:tab/>
        <w:tab/>
      </w:r>
      <w:r>
        <w:rPr>
          <w:i/>
          <w:sz w:val="21"/>
        </w:rPr>
        <w:t>(01/98-01/99)</w:t>
      </w:r>
    </w:p>
    <w:p>
      <w:pPr>
        <w:pStyle w:val="Normal"/>
        <w:numPr>
          <w:ilvl w:val="0"/>
          <w:numId w:val="4"/>
        </w:numPr>
        <w:rPr/>
      </w:pPr>
      <w:r>
        <w:rPr/>
        <w:t>Calculated and analyzed the Value at Risk (V@R) for all commodities traded by ECT, and reported them daily to top management for risk evaluation and control.</w:t>
      </w:r>
    </w:p>
    <w:p>
      <w:pPr>
        <w:pStyle w:val="Normal"/>
        <w:numPr>
          <w:ilvl w:val="0"/>
          <w:numId w:val="4"/>
        </w:numPr>
        <w:rPr/>
      </w:pPr>
      <w:r>
        <w:rPr/>
        <w:t>Closely worked with corporate Research group to analyze the V@R model results based on in-built assumptions vs. effect of actual market movements.</w:t>
      </w:r>
    </w:p>
    <w:p>
      <w:pPr>
        <w:pStyle w:val="Normal"/>
        <w:numPr>
          <w:ilvl w:val="0"/>
          <w:numId w:val="0"/>
        </w:numPr>
        <w:ind w:hanging="1800" w:start="1800" w:end="0"/>
        <w:rPr>
          <w:b/>
        </w:rPr>
      </w:pPr>
      <w:r>
        <w:rPr>
          <w:b/>
        </w:rPr>
      </w:r>
    </w:p>
    <w:p>
      <w:pPr>
        <w:pStyle w:val="Normal"/>
        <w:numPr>
          <w:ilvl w:val="0"/>
          <w:numId w:val="0"/>
        </w:numPr>
        <w:tabs>
          <w:tab w:val="clear" w:pos="720"/>
          <w:tab w:val="left" w:pos="1800" w:leader="none"/>
        </w:tabs>
        <w:ind w:hanging="0" w:start="0"/>
        <w:rPr>
          <w:b/>
          <w:i/>
          <w:i/>
          <w:sz w:val="21"/>
        </w:rPr>
      </w:pPr>
      <w:r>
        <w:rPr>
          <w:b/>
          <w:sz w:val="21"/>
        </w:rPr>
        <w:t>Intern</w:t>
        <w:tab/>
        <w:t>Electronic Data Systems Corporation (EDS)/Enron</w:t>
      </w:r>
      <w:r>
        <w:rPr>
          <w:sz w:val="22"/>
        </w:rPr>
        <w:tab/>
        <w:tab/>
        <w:tab/>
        <w:tab/>
      </w:r>
      <w:r>
        <w:rPr>
          <w:i/>
          <w:sz w:val="21"/>
        </w:rPr>
        <w:t>(07/97-12/97)</w:t>
      </w:r>
    </w:p>
    <w:p>
      <w:pPr>
        <w:pStyle w:val="Normal"/>
        <w:numPr>
          <w:ilvl w:val="0"/>
          <w:numId w:val="4"/>
        </w:numPr>
        <w:rPr/>
      </w:pPr>
      <w:r>
        <w:rPr/>
        <w:t>Managed data integrity of Enron’s pipeline control systems, to identify implementation issues.</w:t>
      </w:r>
    </w:p>
    <w:p>
      <w:pPr>
        <w:pStyle w:val="Normal"/>
        <w:numPr>
          <w:ilvl w:val="0"/>
          <w:numId w:val="4"/>
        </w:numPr>
        <w:rPr>
          <w:sz w:val="21"/>
        </w:rPr>
      </w:pPr>
      <w:r>
        <w:rPr/>
        <w:t>Developed test data to ensure transition of current system to new, advanced gas control system.</w:t>
      </w:r>
    </w:p>
    <w:p>
      <w:pPr>
        <w:pStyle w:val="Normal"/>
        <w:numPr>
          <w:ilvl w:val="0"/>
          <w:numId w:val="0"/>
        </w:numPr>
        <w:ind w:hanging="0" w:start="-90" w:end="0"/>
        <w:rPr>
          <w:sz w:val="22"/>
        </w:rPr>
      </w:pPr>
      <w:r>
        <w:rPr>
          <w:sz w:val="22"/>
        </w:rPr>
        <w:tab/>
        <w:tab/>
      </w:r>
    </w:p>
    <w:p>
      <w:pPr>
        <w:pStyle w:val="Normal"/>
        <w:numPr>
          <w:ilvl w:val="0"/>
          <w:numId w:val="0"/>
        </w:numPr>
        <w:tabs>
          <w:tab w:val="clear" w:pos="720"/>
          <w:tab w:val="left" w:pos="1800" w:leader="none"/>
        </w:tabs>
        <w:ind w:hanging="0" w:start="0"/>
        <w:rPr>
          <w:i/>
          <w:i/>
          <w:sz w:val="22"/>
        </w:rPr>
      </w:pPr>
      <w:r>
        <w:rPr>
          <w:b/>
          <w:sz w:val="21"/>
        </w:rPr>
        <w:t>Summer Intern</w:t>
        <w:tab/>
        <w:t>Nagarjuna Investment Trust Limited (NITL), India</w:t>
      </w:r>
      <w:r>
        <w:rPr>
          <w:b/>
          <w:sz w:val="22"/>
        </w:rPr>
        <w:tab/>
        <w:tab/>
        <w:tab/>
        <w:tab/>
      </w:r>
      <w:r>
        <w:rPr>
          <w:i/>
          <w:sz w:val="21"/>
        </w:rPr>
        <w:t>(04/94-08/94)</w:t>
      </w:r>
    </w:p>
    <w:p>
      <w:pPr>
        <w:pStyle w:val="Normal"/>
        <w:numPr>
          <w:ilvl w:val="0"/>
          <w:numId w:val="4"/>
        </w:numPr>
        <w:rPr/>
      </w:pPr>
      <w:r>
        <w:rPr/>
        <w:t xml:space="preserve">Monitored individual stock prices of select blue-chip companies, leading to investment recommendations, based on proprietary technical report completed. </w:t>
      </w:r>
    </w:p>
    <w:p>
      <w:pPr>
        <w:pStyle w:val="Normal"/>
        <w:numPr>
          <w:ilvl w:val="0"/>
          <w:numId w:val="4"/>
        </w:numPr>
        <w:rPr/>
      </w:pPr>
      <w:r>
        <w:rPr/>
        <w:t>Conducted fundamental analysis using economic, industry, and market indicators</w:t>
      </w:r>
    </w:p>
    <w:p>
      <w:pPr>
        <w:pStyle w:val="Normal"/>
        <w:numPr>
          <w:ilvl w:val="0"/>
          <w:numId w:val="4"/>
        </w:numPr>
        <w:rPr/>
      </w:pPr>
      <w:r>
        <w:rPr/>
        <w:t xml:space="preserve">Performed detailed technical analysis using various tools including Metastock software </w:t>
      </w:r>
    </w:p>
    <w:p>
      <w:pPr>
        <w:pStyle w:val="Normal"/>
        <w:numPr>
          <w:ilvl w:val="0"/>
          <w:numId w:val="0"/>
        </w:numPr>
        <w:ind w:hanging="0" w:start="1800" w:end="0"/>
        <w:rPr>
          <w:sz w:val="22"/>
        </w:rPr>
      </w:pPr>
      <w:r>
        <w:rPr>
          <w:sz w:val="22"/>
        </w:rPr>
      </w:r>
    </w:p>
    <w:p>
      <w:pPr>
        <w:pStyle w:val="Normal"/>
        <w:numPr>
          <w:ilvl w:val="0"/>
          <w:numId w:val="0"/>
        </w:numPr>
        <w:tabs>
          <w:tab w:val="clear" w:pos="720"/>
          <w:tab w:val="left" w:pos="1800" w:leader="none"/>
        </w:tabs>
        <w:ind w:hanging="0" w:start="0"/>
        <w:rPr>
          <w:i/>
          <w:i/>
          <w:sz w:val="22"/>
        </w:rPr>
      </w:pPr>
      <w:r>
        <w:rPr>
          <w:b/>
          <w:sz w:val="21"/>
        </w:rPr>
        <w:t>Asst. Manager</w:t>
        <w:tab/>
        <w:t>Associated Rock Drills Enterprises (ARDE), India</w:t>
      </w:r>
      <w:r>
        <w:rPr>
          <w:sz w:val="21"/>
        </w:rPr>
        <w:tab/>
      </w:r>
      <w:r>
        <w:rPr>
          <w:sz w:val="22"/>
        </w:rPr>
        <w:tab/>
        <w:tab/>
        <w:tab/>
      </w:r>
      <w:r>
        <w:rPr>
          <w:i/>
          <w:sz w:val="21"/>
        </w:rPr>
        <w:t>(09/91-08/93)</w:t>
      </w:r>
    </w:p>
    <w:p>
      <w:pPr>
        <w:pStyle w:val="Normal"/>
        <w:numPr>
          <w:ilvl w:val="0"/>
          <w:numId w:val="4"/>
        </w:numPr>
        <w:rPr>
          <w:b/>
        </w:rPr>
      </w:pPr>
      <w:r>
        <w:rPr/>
        <w:t>Lead team for the marketing and sale of indigenously-developed down-hole oilfield equipment to clients like Oil and Natural Gas Corporation (ONGC), and Oil India Limited (OIL).</w:t>
      </w:r>
    </w:p>
    <w:p>
      <w:pPr>
        <w:pStyle w:val="Normal"/>
        <w:numPr>
          <w:ilvl w:val="0"/>
          <w:numId w:val="4"/>
        </w:numPr>
        <w:rPr>
          <w:b/>
        </w:rPr>
      </w:pPr>
      <w:r>
        <w:rPr/>
        <w:t>Worked with commercial banks for purchase of bid bonds, and financing of working capital.</w:t>
      </w:r>
    </w:p>
    <w:p>
      <w:pPr>
        <w:pStyle w:val="Normal"/>
        <w:numPr>
          <w:ilvl w:val="0"/>
          <w:numId w:val="4"/>
        </w:numPr>
        <w:rPr>
          <w:b/>
        </w:rPr>
      </w:pPr>
      <w:r>
        <w:rPr/>
        <w:t>Prepared tender documents and performance bond guarantees on receipt of purchase orders.</w:t>
      </w:r>
    </w:p>
    <w:p>
      <w:pPr>
        <w:pStyle w:val="Normal"/>
        <w:ind w:start="1800" w:end="0"/>
        <w:rPr>
          <w:b/>
          <w:sz w:val="22"/>
        </w:rPr>
      </w:pPr>
      <w:r>
        <w:rPr>
          <w:b/>
          <w:sz w:val="22"/>
        </w:rPr>
      </w:r>
    </w:p>
    <w:p>
      <w:pPr>
        <w:pStyle w:val="Normal"/>
        <w:ind w:hanging="2160" w:start="2160" w:end="0"/>
        <w:rPr/>
      </w:pPr>
      <w:r>
        <w:rPr>
          <w:b/>
        </w:rPr>
        <w:t>COMPUTER</w:t>
      </w:r>
      <w:r>
        <w:rPr>
          <w:sz w:val="22"/>
        </w:rPr>
        <w:tab/>
      </w:r>
      <w:r>
        <w:rPr/>
        <w:t>Experienced in the use of MS Office 95/97 (MS Word, Excel, and Access)</w:t>
      </w:r>
    </w:p>
    <w:p>
      <w:pPr>
        <w:pStyle w:val="Normal"/>
        <w:ind w:hanging="2160" w:start="2160" w:end="0"/>
        <w:rPr/>
      </w:pPr>
      <w:r>
        <w:rPr>
          <w:b/>
        </w:rPr>
        <w:t>SKILLS</w:t>
      </w:r>
      <w:r>
        <w:rPr>
          <w:sz w:val="22"/>
        </w:rPr>
        <w:tab/>
      </w:r>
      <w:r>
        <w:rPr/>
        <w:t>Experienced in designing customized macros for MS Office applications</w:t>
      </w:r>
    </w:p>
    <w:p>
      <w:pPr>
        <w:pStyle w:val="Normal"/>
        <w:ind w:hanging="1800" w:start="1800" w:end="0"/>
        <w:rPr/>
      </w:pPr>
      <w:r>
        <w:rPr>
          <w:b/>
        </w:rPr>
        <w:tab/>
      </w:r>
      <w:r>
        <w:rPr>
          <w:sz w:val="22"/>
        </w:rPr>
        <w:tab/>
        <w:tab/>
      </w:r>
    </w:p>
    <w:p>
      <w:pPr>
        <w:pStyle w:val="BodyText2"/>
        <w:ind w:start="0" w:end="0"/>
        <w:rPr/>
      </w:pPr>
      <w:r>
        <w:rPr>
          <w:b/>
        </w:rPr>
        <w:t>CERTIFICATIONS</w:t>
      </w:r>
      <w:r>
        <w:rPr>
          <w:sz w:val="22"/>
        </w:rPr>
        <w:tab/>
        <w:t>Passed Series 3, and Series 63 exams</w:t>
      </w:r>
    </w:p>
    <w:p>
      <w:pPr>
        <w:pStyle w:val="BodyText2"/>
        <w:ind w:start="0" w:end="0"/>
        <w:rPr>
          <w:sz w:val="22"/>
        </w:rPr>
      </w:pPr>
      <w:r>
        <w:rPr>
          <w:sz w:val="22"/>
        </w:rPr>
      </w:r>
    </w:p>
    <w:p>
      <w:pPr>
        <w:pStyle w:val="BodyText2"/>
        <w:ind w:start="0" w:end="0"/>
        <w:rPr/>
      </w:pPr>
      <w:r>
        <w:rPr>
          <w:b/>
        </w:rPr>
        <w:t>Other Interests</w:t>
        <w:tab/>
      </w:r>
      <w:r>
        <w:rPr>
          <w:sz w:val="22"/>
        </w:rPr>
        <w:tab/>
        <w:t>Playing tennis, travelling, and investing in the stock markets</w:t>
      </w:r>
    </w:p>
    <w:sectPr>
      <w:type w:val="nextPage"/>
      <w:pgSz w:w="12240" w:h="15840"/>
      <w:pgMar w:left="1152" w:right="1008"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21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1800" w:start="1800" w:end="0"/>
      <w:outlineLvl w:val="0"/>
    </w:pPr>
    <w:rPr>
      <w:b/>
      <w:sz w:val="22"/>
    </w:rPr>
  </w:style>
  <w:style w:type="paragraph" w:styleId="Heading2">
    <w:name w:val="heading 2"/>
    <w:basedOn w:val="Normal"/>
    <w:next w:val="Normal"/>
    <w:qFormat/>
    <w:pPr>
      <w:keepNext w:val="true"/>
      <w:numPr>
        <w:ilvl w:val="1"/>
        <w:numId w:val="1"/>
      </w:numPr>
      <w:ind w:hanging="1800" w:start="1800" w:end="0"/>
      <w:outlineLvl w:val="1"/>
    </w:pPr>
    <w:rPr>
      <w:b/>
    </w:rPr>
  </w:style>
  <w:style w:type="paragraph" w:styleId="Heading3">
    <w:name w:val="heading 3"/>
    <w:basedOn w:val="Normal"/>
    <w:next w:val="Normal"/>
    <w:qFormat/>
    <w:pPr>
      <w:keepNext w:val="true"/>
      <w:numPr>
        <w:ilvl w:val="2"/>
        <w:numId w:val="1"/>
      </w:numPr>
      <w:outlineLvl w:val="2"/>
    </w:pPr>
    <w:rPr>
      <w:b/>
      <w:sz w:val="21"/>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rPr>
  </w:style>
  <w:style w:type="paragraph" w:styleId="BodyText">
    <w:name w:val="Body Text"/>
    <w:basedOn w:val="Normal"/>
    <w:pPr>
      <w:spacing w:lineRule="atLeast" w:line="240"/>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216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2001-02-15T13:55:00Z</dcterms:created>
  <dc:creator>Bani</dc:creator>
  <dc:description/>
  <dc:language>en-CA</dc:language>
  <cp:lastModifiedBy>Bani Arora</cp:lastModifiedBy>
  <cp:lastPrinted>2000-07-30T16:23:00Z</cp:lastPrinted>
  <dcterms:modified xsi:type="dcterms:W3CDTF">2001-02-15T13:59:00Z</dcterms:modified>
  <cp:revision>3</cp:revision>
  <dc:subject/>
  <dc:title>BANI ARORA</dc:title>
</cp:coreProperties>
</file>