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thickThinSmallGap" w:sz="18" w:space="0" w:color="000000"/>
        </w:pBdr>
        <w:ind w:firstLine="540" w:start="-540" w:end="-540"/>
        <w:rPr>
          <w:sz w:val="36"/>
          <w:szCs w:val="36"/>
        </w:rPr>
      </w:pPr>
      <w:r>
        <w:rPr>
          <w:sz w:val="36"/>
          <w:szCs w:val="36"/>
        </w:rPr>
        <w:t>George T. Moss</w:t>
      </w:r>
    </w:p>
    <w:p>
      <w:pPr>
        <w:pStyle w:val="Normal"/>
        <w:tabs>
          <w:tab w:val="clear" w:pos="720"/>
          <w:tab w:val="left" w:pos="2880" w:leader="none"/>
          <w:tab w:val="left" w:pos="2970" w:leader="none"/>
        </w:tabs>
        <w:ind w:firstLine="540" w:start="-540" w:end="-540"/>
        <w:jc w:val="center"/>
        <w:rPr/>
      </w:pPr>
      <w:r>
        <w:rPr>
          <w:sz w:val="22"/>
          <w:szCs w:val="22"/>
        </w:rPr>
        <w:t xml:space="preserve">141 E. Boyd  #503 </w:t>
      </w:r>
      <w:r>
        <w:rPr>
          <w:rFonts w:eastAsia="Symbol" w:cs="Symbol" w:ascii="Symbol" w:hAnsi="Symbol"/>
          <w:sz w:val="22"/>
          <w:szCs w:val="22"/>
        </w:rPr>
        <w:sym w:font="Symbol" w:char="f0b7"/>
      </w:r>
      <w:r>
        <w:rPr>
          <w:sz w:val="22"/>
          <w:szCs w:val="22"/>
        </w:rPr>
        <w:t xml:space="preserve"> Baton Rouge, LA  70808</w:t>
      </w:r>
    </w:p>
    <w:p>
      <w:pPr>
        <w:pStyle w:val="Normal"/>
        <w:tabs>
          <w:tab w:val="clear" w:pos="720"/>
          <w:tab w:val="left" w:pos="2970" w:leader="none"/>
        </w:tabs>
        <w:ind w:firstLine="540" w:start="-540" w:end="-540"/>
        <w:jc w:val="center"/>
        <w:rPr/>
      </w:pPr>
      <w:r>
        <w:rPr>
          <w:sz w:val="22"/>
          <w:szCs w:val="22"/>
        </w:rPr>
        <w:t xml:space="preserve">Home 225-761-0856 </w:t>
      </w:r>
      <w:r>
        <w:rPr>
          <w:rFonts w:eastAsia="Symbol" w:cs="Symbol" w:ascii="Symbol" w:hAnsi="Symbol"/>
          <w:sz w:val="22"/>
          <w:szCs w:val="22"/>
        </w:rPr>
        <w:sym w:font="Symbol" w:char="f0b7"/>
      </w:r>
      <w:r>
        <w:rPr>
          <w:sz w:val="22"/>
          <w:szCs w:val="22"/>
        </w:rPr>
        <w:t xml:space="preserve"> PCS 225-266-6200</w:t>
      </w:r>
    </w:p>
    <w:p>
      <w:pPr>
        <w:pStyle w:val="Normal"/>
        <w:ind w:firstLine="540" w:start="-540" w:end="-540"/>
        <w:jc w:val="center"/>
        <w:rPr>
          <w:sz w:val="22"/>
        </w:rPr>
      </w:pPr>
      <w:hyperlink r:id="rId2">
        <w:r>
          <w:rPr>
            <w:rStyle w:val="Hyperlink"/>
            <w:sz w:val="22"/>
            <w:u w:val="none" w:color="FFFFFF"/>
          </w:rPr>
          <w:t>gmoss@netzero.net</w:t>
        </w:r>
      </w:hyperlink>
      <w:r>
        <w:rPr>
          <w:sz w:val="22"/>
        </w:rPr>
        <w:t xml:space="preserve"> </w:t>
      </w:r>
      <w:r>
        <w:rPr>
          <w:rFonts w:eastAsia="Symbol" w:cs="Symbol" w:ascii="Symbol" w:hAnsi="Symbol"/>
          <w:sz w:val="22"/>
          <w:szCs w:val="22"/>
        </w:rPr>
        <w:sym w:font="Symbol" w:char="f0b7"/>
      </w:r>
      <w:r>
        <w:rPr>
          <w:sz w:val="22"/>
          <w:szCs w:val="22"/>
        </w:rPr>
        <w:t xml:space="preserve"> </w:t>
      </w:r>
      <w:hyperlink r:id="rId3">
        <w:r>
          <w:rPr>
            <w:rStyle w:val="Hyperlink"/>
            <w:sz w:val="22"/>
            <w:u w:val="none"/>
          </w:rPr>
          <w:t>www.my-duediligence.com</w:t>
        </w:r>
      </w:hyperlink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tbl>
      <w:tblPr>
        <w:tblW w:w="10440" w:type="dxa"/>
        <w:jc w:val="start"/>
        <w:tblInd w:w="-51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20"/>
        <w:gridCol w:w="3285"/>
        <w:gridCol w:w="585"/>
        <w:gridCol w:w="2700"/>
        <w:gridCol w:w="2250"/>
      </w:tblGrid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Heading2"/>
              <w:ind w:hanging="0" w:star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Objective</w:t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Obtain a position that will fully utilize my financial background, computer, interpersonal, and problem-solving skills.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Louisiana State University</w:t>
            </w:r>
            <w:r>
              <w:rPr>
                <w:sz w:val="22"/>
              </w:rPr>
              <w:t>, Baton Rouge, LA, May 2002 (anticipated)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570" w:type="dxa"/>
            <w:gridSpan w:val="3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MBA: Concentration in Finance and Management Information Systems </w:t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GPA: 4.0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Louisiana State University</w:t>
            </w:r>
            <w:r>
              <w:rPr>
                <w:sz w:val="22"/>
              </w:rPr>
              <w:t>, Baton Rouge, LA, August 1999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285" w:type="dxa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B.S. Finance </w:t>
            </w:r>
          </w:p>
        </w:tc>
        <w:tc>
          <w:tcPr>
            <w:tcW w:w="3285" w:type="dxa"/>
            <w:gridSpan w:val="2"/>
            <w:tcBorders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285" w:type="dxa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Magna Cum Laude Graduate</w:t>
            </w:r>
          </w:p>
        </w:tc>
        <w:tc>
          <w:tcPr>
            <w:tcW w:w="3285" w:type="dxa"/>
            <w:gridSpan w:val="2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Overall GPA: 3.814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6570" w:type="dxa"/>
            <w:gridSpan w:val="3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Independent Project: Valuation of a business in the LSU incubator.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870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00" w:type="dxa"/>
            <w:tcBorders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Heading7"/>
              <w:ind w:hanging="0" w:start="0"/>
              <w:rPr/>
            </w:pPr>
            <w:r>
              <w:rPr/>
              <w:t>Experience</w:t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LSU Foundation</w:t>
            </w:r>
            <w:r>
              <w:rPr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8/2000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Present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Assisted in the management of over $220 million in assets through cost reduction, security analysis, and monthly reconciliation.  Assisted in the search for investment alternatives including hedge funds and private equity.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387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00" w:type="dxa"/>
            <w:tcBorders/>
          </w:tcPr>
          <w:p>
            <w:pPr>
              <w:pStyle w:val="Heading6"/>
              <w:snapToGrid w:val="false"/>
              <w:ind w:hanging="0" w:star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</w:rPr>
              <w:t>Day Trader</w:t>
            </w:r>
            <w:r>
              <w:rPr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2/2000 - 8/2000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Performed equity analysis in order to profit from daily fluctuations in stock prices utilizing long and short stock and option positions.  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387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700" w:type="dxa"/>
            <w:tcBorders/>
          </w:tcPr>
          <w:p>
            <w:pPr>
              <w:pStyle w:val="Heading6"/>
              <w:snapToGrid w:val="false"/>
              <w:ind w:hanging="0" w:star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jc w:val="en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Merrill Lynch</w:t>
            </w:r>
            <w:r>
              <w:rPr>
                <w:sz w:val="22"/>
              </w:rPr>
              <w:t xml:space="preserve">, Baton Rouge, LA, </w:t>
            </w:r>
            <w:r>
              <w:rPr>
                <w:sz w:val="22"/>
                <w:szCs w:val="22"/>
              </w:rPr>
              <w:t>8/1998 - 2/2000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Assisted the first Vice President and a Junior Financial Consultant with research and analysis of investment vehicles associated with over $200 million in assets under management. Also performed client prospecting duties and worked in operations. 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Heading2"/>
              <w:ind w:hanging="0" w:star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Skills</w:t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Derivatives, hedging, and real options experience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Microsoft Windows 3.11, '95, '98, 2000 and NT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Microsoft Office: Word, Excel, PowerPoint, and Access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Bloomberg (with Excel plug-in)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Limited web design: HTML, MS FrontPage, and DreamWeaver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Heading3"/>
              <w:snapToGrid w:val="false"/>
              <w:ind w:hanging="0" w:star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Teamwork experience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Heading3"/>
              <w:snapToGrid w:val="false"/>
              <w:ind w:hanging="0" w:start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Spanish (limited experience) 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Organizations</w:t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MBA Association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Golden Key National Honor Society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Alpha Lambda Delta Honor Society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Heading2"/>
              <w:snapToGrid w:val="false"/>
              <w:ind w:hanging="0" w:star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Heading2"/>
              <w:ind w:hanging="0" w:star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Honors</w:t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LSU Dean's List 8 semesters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LSU Honors Scholarship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Heading2"/>
              <w:snapToGrid w:val="false"/>
              <w:ind w:hanging="0" w:star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snapToGrid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Heading2"/>
              <w:ind w:hanging="0" w:star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Interests</w:t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Golf - played recreationally for 12 years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Skydiving – once</w:t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259" w:hRule="atLeast"/>
        </w:trPr>
        <w:tc>
          <w:tcPr>
            <w:tcW w:w="1620" w:type="dxa"/>
            <w:tcBorders/>
          </w:tcPr>
          <w:p>
            <w:pPr>
              <w:pStyle w:val="Normal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References</w:t>
            </w:r>
          </w:p>
        </w:tc>
        <w:tc>
          <w:tcPr>
            <w:tcW w:w="8820" w:type="dxa"/>
            <w:gridSpan w:val="4"/>
            <w:tcBorders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References available upon request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thickThinSmallGap" w:sz="18" w:space="1" w:color="000000"/>
      </w:pBdr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color w:val="000000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  <w:bCs/>
      <w:color w:val="000000"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color w:val="000000"/>
      <w:sz w:val="22"/>
      <w:szCs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bCs/>
      <w:sz w:val="22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Times New Roman"/>
    </w:rPr>
  </w:style>
  <w:style w:type="character" w:styleId="WW8Num12z0">
    <w:name w:val="WW8Num12z0"/>
    <w:qFormat/>
    <w:rPr>
      <w:rFonts w:ascii="Symbol" w:hAnsi="Symbol" w:cs="Times New Roman"/>
    </w:rPr>
  </w:style>
  <w:style w:type="character" w:styleId="WW8Num13z0">
    <w:name w:val="WW8Num13z0"/>
    <w:qFormat/>
    <w:rPr>
      <w:rFonts w:ascii="Symbol" w:hAnsi="Symbol" w:cs="Times New Roman"/>
    </w:rPr>
  </w:style>
  <w:style w:type="character" w:styleId="WW8Num14z0">
    <w:name w:val="WW8Num14z0"/>
    <w:qFormat/>
    <w:rPr>
      <w:rFonts w:ascii="Symbol" w:hAnsi="Symbol" w:cs="Times New Roman"/>
    </w:rPr>
  </w:style>
  <w:style w:type="character" w:styleId="WW8Num15z0">
    <w:name w:val="WW8Num15z0"/>
    <w:qFormat/>
    <w:rPr>
      <w:rFonts w:ascii="Symbol" w:hAnsi="Symbol" w:cs="Times New Roman"/>
    </w:rPr>
  </w:style>
  <w:style w:type="character" w:styleId="WW8Num16z0">
    <w:name w:val="WW8Num16z0"/>
    <w:qFormat/>
    <w:rPr>
      <w:rFonts w:ascii="Symbol" w:hAnsi="Symbol" w:cs="Times New Roman"/>
    </w:rPr>
  </w:style>
  <w:style w:type="character" w:styleId="WW8Num17z0">
    <w:name w:val="WW8Num17z0"/>
    <w:qFormat/>
    <w:rPr>
      <w:rFonts w:ascii="Symbol" w:hAnsi="Symbol" w:cs="Times New Roman"/>
    </w:rPr>
  </w:style>
  <w:style w:type="character" w:styleId="WW8Num18z0">
    <w:name w:val="WW8Num18z0"/>
    <w:qFormat/>
    <w:rPr>
      <w:rFonts w:ascii="Symbol" w:hAnsi="Symbol" w:cs="Times New Roman"/>
    </w:rPr>
  </w:style>
  <w:style w:type="character" w:styleId="WW8Num19z0">
    <w:name w:val="WW8Num19z0"/>
    <w:qFormat/>
    <w:rPr>
      <w:rFonts w:ascii="Symbol" w:hAnsi="Symbol" w:cs="Times New Roman"/>
    </w:rPr>
  </w:style>
  <w:style w:type="character" w:styleId="WW8Num20z0">
    <w:name w:val="WW8Num20z0"/>
    <w:qFormat/>
    <w:rPr>
      <w:rFonts w:ascii="Symbol" w:hAnsi="Symbol" w:cs="Times New Roman"/>
    </w:rPr>
  </w:style>
  <w:style w:type="character" w:styleId="WW8Num21z0">
    <w:name w:val="WW8Num21z0"/>
    <w:qFormat/>
    <w:rPr>
      <w:rFonts w:ascii="Symbol" w:hAnsi="Symbol" w:cs="Times New Roman"/>
    </w:rPr>
  </w:style>
  <w:style w:type="character" w:styleId="WW8Num22z0">
    <w:name w:val="WW8Num22z0"/>
    <w:qFormat/>
    <w:rPr>
      <w:rFonts w:ascii="Symbol" w:hAnsi="Symbol" w:cs="Times New Roman"/>
    </w:rPr>
  </w:style>
  <w:style w:type="character" w:styleId="WW8Num23z0">
    <w:name w:val="WW8Num23z0"/>
    <w:qFormat/>
    <w:rPr>
      <w:rFonts w:ascii="Symbol" w:hAnsi="Symbol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moss@netzero.net" TargetMode="External"/><Relationship Id="rId3" Type="http://schemas.openxmlformats.org/officeDocument/2006/relationships/hyperlink" Target="http://www.my-duediligence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2001-01-19T16:42:00Z</dcterms:created>
  <dc:creator>College of Business Lab</dc:creator>
  <dc:description/>
  <dc:language>en-CA</dc:language>
  <cp:lastModifiedBy>Kurt</cp:lastModifiedBy>
  <cp:lastPrinted>2001-04-26T17:47:00Z</cp:lastPrinted>
  <dcterms:modified xsi:type="dcterms:W3CDTF">2001-04-26T20:20:00Z</dcterms:modified>
  <cp:revision>17</cp:revision>
  <dc:subject/>
  <dc:title>George Moss</dc:title>
</cp:coreProperties>
</file>