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6"/>
        </w:rPr>
      </w:pPr>
      <w:r>
        <w:rPr>
          <w:sz w:val="26"/>
        </w:rPr>
        <w:t>MICHAEL E. CLINCHARD</w:t>
      </w:r>
    </w:p>
    <w:p>
      <w:pPr>
        <w:pStyle w:val="Normal"/>
        <w:jc w:val="center"/>
        <w:rPr>
          <w:sz w:val="24"/>
        </w:rPr>
      </w:pPr>
      <w:r>
        <w:rPr>
          <w:sz w:val="24"/>
        </w:rPr>
        <w:t>4400 Memorial Dr. #1074</w:t>
      </w:r>
    </w:p>
    <w:p>
      <w:pPr>
        <w:pStyle w:val="Heading1"/>
        <w:ind w:hanging="0" w:start="0"/>
        <w:rPr/>
      </w:pPr>
      <w:r>
        <w:rPr/>
        <w:t>Houston, TX  77007</w:t>
      </w:r>
    </w:p>
    <w:p>
      <w:pPr>
        <w:pStyle w:val="Normal"/>
        <w:jc w:val="center"/>
        <w:rPr>
          <w:sz w:val="24"/>
        </w:rPr>
      </w:pPr>
      <w:r>
        <w:rPr>
          <w:sz w:val="24"/>
        </w:rPr>
        <w:t>Hm. (713) 868-7090</w:t>
      </w:r>
    </w:p>
    <w:p>
      <w:pPr>
        <w:pStyle w:val="Heading1"/>
        <w:ind w:hanging="0" w:start="0"/>
        <w:rPr/>
      </w:pPr>
      <w:r>
        <w:rPr/>
        <w:t>Wk. (713) 767-5083</w:t>
      </w:r>
    </w:p>
    <w:p>
      <w:pPr>
        <w:pStyle w:val="Normal"/>
        <w:jc w:val="center"/>
        <w:rPr>
          <w:sz w:val="24"/>
        </w:rPr>
      </w:pPr>
      <w:r>
        <w:rPr>
          <w:sz w:val="24"/>
        </w:rPr>
      </w:r>
    </w:p>
    <w:p>
      <w:pPr>
        <w:pStyle w:val="Normal"/>
        <w:pBdr>
          <w:top w:val="single" w:sz="4" w:space="1" w:color="000000"/>
        </w:pBdr>
        <w:jc w:val="center"/>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738"/>
        <w:gridCol w:w="720"/>
        <w:gridCol w:w="630"/>
        <w:gridCol w:w="5310"/>
        <w:gridCol w:w="2160"/>
      </w:tblGrid>
      <w:tr>
        <w:trPr/>
        <w:tc>
          <w:tcPr>
            <w:tcW w:w="2088" w:type="dxa"/>
            <w:gridSpan w:val="3"/>
            <w:tcBorders/>
          </w:tcPr>
          <w:p>
            <w:pPr>
              <w:pStyle w:val="Heading2"/>
              <w:ind w:hanging="0" w:start="0"/>
              <w:rPr>
                <w:sz w:val="22"/>
              </w:rPr>
            </w:pPr>
            <w:r>
              <w:rPr>
                <w:sz w:val="22"/>
              </w:rPr>
              <w:t>EDUCATION</w:t>
            </w:r>
          </w:p>
        </w:tc>
        <w:tc>
          <w:tcPr>
            <w:tcW w:w="5310" w:type="dxa"/>
            <w:tcBorders/>
          </w:tcPr>
          <w:p>
            <w:pPr>
              <w:pStyle w:val="Normal"/>
              <w:snapToGrid w:val="false"/>
              <w:rPr>
                <w:sz w:val="22"/>
              </w:rPr>
            </w:pPr>
            <w:r>
              <w:rPr>
                <w:sz w:val="22"/>
              </w:rPr>
            </w:r>
          </w:p>
        </w:tc>
        <w:tc>
          <w:tcPr>
            <w:tcW w:w="2160" w:type="dxa"/>
            <w:tcBorders/>
          </w:tcPr>
          <w:p>
            <w:pPr>
              <w:pStyle w:val="Normal"/>
              <w:snapToGrid w:val="false"/>
              <w:jc w:val="end"/>
              <w:rPr>
                <w:sz w:val="22"/>
              </w:rPr>
            </w:pPr>
            <w:r>
              <w:rPr>
                <w:sz w:val="22"/>
              </w:rPr>
            </w:r>
          </w:p>
        </w:tc>
      </w:tr>
      <w:tr>
        <w:trPr/>
        <w:tc>
          <w:tcPr>
            <w:tcW w:w="1458" w:type="dxa"/>
            <w:gridSpan w:val="2"/>
            <w:tcBorders/>
          </w:tcPr>
          <w:p>
            <w:pPr>
              <w:pStyle w:val="Normal"/>
              <w:rPr>
                <w:sz w:val="22"/>
              </w:rPr>
            </w:pPr>
            <w:r>
              <w:rPr>
                <w:sz w:val="22"/>
              </w:rPr>
              <w:t>Sept 93 to May 97</w:t>
            </w:r>
          </w:p>
        </w:tc>
        <w:tc>
          <w:tcPr>
            <w:tcW w:w="5940" w:type="dxa"/>
            <w:gridSpan w:val="2"/>
            <w:tcBorders/>
          </w:tcPr>
          <w:p>
            <w:pPr>
              <w:pStyle w:val="Normal"/>
              <w:rPr>
                <w:sz w:val="22"/>
              </w:rPr>
            </w:pPr>
            <w:r>
              <w:rPr>
                <w:sz w:val="22"/>
              </w:rPr>
              <w:t xml:space="preserve">The University of Texas </w:t>
            </w:r>
          </w:p>
          <w:p>
            <w:pPr>
              <w:pStyle w:val="Normal"/>
              <w:rPr>
                <w:sz w:val="22"/>
              </w:rPr>
            </w:pPr>
            <w:r>
              <w:rPr>
                <w:sz w:val="22"/>
              </w:rPr>
              <w:t>Bachelors of Business Administration in Finance</w:t>
            </w:r>
          </w:p>
        </w:tc>
        <w:tc>
          <w:tcPr>
            <w:tcW w:w="2160" w:type="dxa"/>
            <w:tcBorders/>
          </w:tcPr>
          <w:p>
            <w:pPr>
              <w:pStyle w:val="Normal"/>
              <w:jc w:val="end"/>
              <w:rPr>
                <w:sz w:val="22"/>
              </w:rPr>
            </w:pPr>
            <w:r>
              <w:rPr>
                <w:sz w:val="22"/>
              </w:rPr>
              <w:t>Austin, TX</w:t>
            </w:r>
          </w:p>
        </w:tc>
      </w:tr>
      <w:tr>
        <w:trPr/>
        <w:tc>
          <w:tcPr>
            <w:tcW w:w="738" w:type="dxa"/>
            <w:tcBorders/>
          </w:tcPr>
          <w:p>
            <w:pPr>
              <w:pStyle w:val="Heading3"/>
              <w:snapToGrid w:val="false"/>
              <w:ind w:hanging="0" w:start="0"/>
              <w:rPr>
                <w:b w:val="false"/>
                <w:sz w:val="22"/>
              </w:rPr>
            </w:pPr>
            <w:r>
              <w:rPr>
                <w:b w:val="false"/>
                <w:sz w:val="22"/>
              </w:rPr>
            </w:r>
          </w:p>
        </w:tc>
        <w:tc>
          <w:tcPr>
            <w:tcW w:w="6660" w:type="dxa"/>
            <w:gridSpan w:val="3"/>
            <w:tcBorders/>
          </w:tcPr>
          <w:p>
            <w:pPr>
              <w:pStyle w:val="Heading3"/>
              <w:numPr>
                <w:ilvl w:val="0"/>
                <w:numId w:val="2"/>
              </w:numPr>
              <w:tabs>
                <w:tab w:val="clear" w:pos="720"/>
                <w:tab w:val="left" w:pos="702" w:leader="none"/>
              </w:tabs>
              <w:ind w:hanging="702" w:start="702" w:end="0"/>
              <w:rPr>
                <w:b w:val="false"/>
              </w:rPr>
            </w:pPr>
            <w:r>
              <w:rPr>
                <w:b w:val="false"/>
              </w:rPr>
              <w:t>Awarded Texas Achievement Minority Scholarship to attend the University of Texas</w:t>
            </w:r>
          </w:p>
        </w:tc>
        <w:tc>
          <w:tcPr>
            <w:tcW w:w="2160" w:type="dxa"/>
            <w:tcBorders/>
          </w:tcPr>
          <w:p>
            <w:pPr>
              <w:pStyle w:val="Normal"/>
              <w:snapToGrid w:val="false"/>
              <w:jc w:val="end"/>
              <w:rPr>
                <w:b w:val="false"/>
                <w:sz w:val="22"/>
              </w:rPr>
            </w:pPr>
            <w:r>
              <w:rPr>
                <w:b w:val="false"/>
                <w:sz w:val="22"/>
              </w:rPr>
            </w:r>
          </w:p>
        </w:tc>
      </w:tr>
      <w:tr>
        <w:trPr/>
        <w:tc>
          <w:tcPr>
            <w:tcW w:w="2088" w:type="dxa"/>
            <w:gridSpan w:val="3"/>
            <w:tcBorders/>
          </w:tcPr>
          <w:p>
            <w:pPr>
              <w:pStyle w:val="Heading3"/>
              <w:ind w:hanging="0" w:start="0"/>
              <w:rPr/>
            </w:pPr>
            <w:r>
              <w:rPr/>
              <w:t>EXPERIENCE</w:t>
            </w:r>
          </w:p>
        </w:tc>
        <w:tc>
          <w:tcPr>
            <w:tcW w:w="5310" w:type="dxa"/>
            <w:tcBorders/>
          </w:tcPr>
          <w:p>
            <w:pPr>
              <w:pStyle w:val="Heading3"/>
              <w:snapToGrid w:val="false"/>
              <w:ind w:hanging="0" w:start="0"/>
              <w:rPr/>
            </w:pPr>
            <w:r>
              <w:rPr/>
            </w:r>
          </w:p>
        </w:tc>
        <w:tc>
          <w:tcPr>
            <w:tcW w:w="2160" w:type="dxa"/>
            <w:tcBorders/>
          </w:tcPr>
          <w:p>
            <w:pPr>
              <w:pStyle w:val="Normal"/>
              <w:snapToGrid w:val="false"/>
              <w:jc w:val="end"/>
              <w:rPr>
                <w:sz w:val="22"/>
              </w:rPr>
            </w:pPr>
            <w:r>
              <w:rPr>
                <w:sz w:val="22"/>
              </w:rPr>
            </w:r>
          </w:p>
        </w:tc>
      </w:tr>
      <w:tr>
        <w:trPr/>
        <w:tc>
          <w:tcPr>
            <w:tcW w:w="1458" w:type="dxa"/>
            <w:gridSpan w:val="2"/>
            <w:tcBorders/>
          </w:tcPr>
          <w:p>
            <w:pPr>
              <w:pStyle w:val="Normal"/>
              <w:rPr>
                <w:sz w:val="22"/>
              </w:rPr>
            </w:pPr>
            <w:r>
              <w:rPr>
                <w:sz w:val="22"/>
              </w:rPr>
              <w:t xml:space="preserve">Dec 98 to </w:t>
            </w:r>
          </w:p>
        </w:tc>
        <w:tc>
          <w:tcPr>
            <w:tcW w:w="5940" w:type="dxa"/>
            <w:gridSpan w:val="2"/>
            <w:tcBorders/>
          </w:tcPr>
          <w:p>
            <w:pPr>
              <w:pStyle w:val="Heading3"/>
              <w:ind w:hanging="0" w:start="0"/>
              <w:rPr/>
            </w:pPr>
            <w:r>
              <w:rPr/>
              <w:t>Dynegy Marketing &amp; Trade</w:t>
            </w:r>
          </w:p>
        </w:tc>
        <w:tc>
          <w:tcPr>
            <w:tcW w:w="2160" w:type="dxa"/>
            <w:tcBorders/>
          </w:tcPr>
          <w:p>
            <w:pPr>
              <w:pStyle w:val="Normal"/>
              <w:jc w:val="end"/>
              <w:rPr>
                <w:sz w:val="22"/>
              </w:rPr>
            </w:pPr>
            <w:r>
              <w:rPr>
                <w:sz w:val="22"/>
              </w:rPr>
              <w:t>Houston, TX</w:t>
            </w:r>
          </w:p>
        </w:tc>
      </w:tr>
      <w:tr>
        <w:trPr/>
        <w:tc>
          <w:tcPr>
            <w:tcW w:w="1458" w:type="dxa"/>
            <w:gridSpan w:val="2"/>
            <w:tcBorders/>
          </w:tcPr>
          <w:p>
            <w:pPr>
              <w:pStyle w:val="Normal"/>
              <w:rPr>
                <w:sz w:val="22"/>
              </w:rPr>
            </w:pPr>
            <w:r>
              <w:rPr>
                <w:sz w:val="22"/>
              </w:rPr>
              <w:t>Present</w:t>
            </w:r>
          </w:p>
        </w:tc>
        <w:tc>
          <w:tcPr>
            <w:tcW w:w="5940" w:type="dxa"/>
            <w:gridSpan w:val="2"/>
            <w:tcBorders/>
          </w:tcPr>
          <w:p>
            <w:pPr>
              <w:pStyle w:val="Heading4"/>
              <w:ind w:hanging="0" w:start="0"/>
              <w:rPr/>
            </w:pPr>
            <w:r>
              <w:rPr/>
              <w:t>Marketing Operations, Northeast Region</w:t>
            </w:r>
          </w:p>
        </w:tc>
        <w:tc>
          <w:tcPr>
            <w:tcW w:w="2160" w:type="dxa"/>
            <w:tcBorders/>
          </w:tcPr>
          <w:p>
            <w:pPr>
              <w:pStyle w:val="Normal"/>
              <w:snapToGrid w:val="false"/>
              <w:rPr>
                <w:sz w:val="22"/>
              </w:rPr>
            </w:pPr>
            <w:r>
              <w:rPr>
                <w:sz w:val="22"/>
              </w:rPr>
            </w:r>
          </w:p>
        </w:tc>
      </w:tr>
    </w:tbl>
    <w:p>
      <w:pPr>
        <w:pStyle w:val="Normal"/>
        <w:numPr>
          <w:ilvl w:val="0"/>
          <w:numId w:val="5"/>
        </w:numPr>
        <w:tabs>
          <w:tab w:val="clear" w:pos="720"/>
          <w:tab w:val="left" w:pos="-1350" w:leader="none"/>
          <w:tab w:val="left" w:pos="1440" w:leader="none"/>
        </w:tabs>
        <w:ind w:hanging="720" w:start="1440" w:end="0"/>
        <w:rPr>
          <w:sz w:val="22"/>
        </w:rPr>
      </w:pPr>
      <w:r>
        <w:rPr>
          <w:sz w:val="22"/>
        </w:rPr>
        <w:t>Coordinated the daily natural gas supply for a retail gas marketing company in New England.  Monitored weather patterns, unused pipeline capacity, storage balances, and pipeline constraints to reliably deliver the most cost efficient gas to the city-gate.</w:t>
      </w:r>
    </w:p>
    <w:p>
      <w:pPr>
        <w:pStyle w:val="Normal"/>
        <w:numPr>
          <w:ilvl w:val="0"/>
          <w:numId w:val="5"/>
        </w:numPr>
        <w:tabs>
          <w:tab w:val="clear" w:pos="720"/>
          <w:tab w:val="left" w:pos="-1350" w:leader="none"/>
          <w:tab w:val="left" w:pos="1440" w:leader="none"/>
        </w:tabs>
        <w:ind w:hanging="720" w:start="1440" w:end="0"/>
        <w:rPr>
          <w:sz w:val="22"/>
        </w:rPr>
      </w:pPr>
      <w:r>
        <w:rPr>
          <w:sz w:val="22"/>
        </w:rPr>
        <w:t>Managed a 4/bcf storage injection for a northeastern utility company.  Responsibilities included developing a five-month injection plan, hedging injections against NYMEX futures contracts, and monitoring injections on a daily basis.  Actualized additional revenues through the use of storage arbitrage.</w:t>
      </w:r>
    </w:p>
    <w:p>
      <w:pPr>
        <w:pStyle w:val="Normal"/>
        <w:numPr>
          <w:ilvl w:val="0"/>
          <w:numId w:val="4"/>
        </w:numPr>
        <w:tabs>
          <w:tab w:val="clear" w:pos="720"/>
          <w:tab w:val="left" w:pos="1440" w:leader="none"/>
        </w:tabs>
        <w:ind w:hanging="720" w:start="1440" w:end="0"/>
        <w:rPr>
          <w:sz w:val="22"/>
        </w:rPr>
      </w:pPr>
      <w:r>
        <w:rPr>
          <w:sz w:val="22"/>
        </w:rPr>
        <w:t xml:space="preserve">Participated in the morning trading sessions to optimize transportation assets in the most cost-effective manner.  Created an Excel spreadsheet to track daily physical positions that recognizes price differentials in the major cash supply areas. </w:t>
      </w:r>
    </w:p>
    <w:p>
      <w:pPr>
        <w:pStyle w:val="Normal"/>
        <w:numPr>
          <w:ilvl w:val="0"/>
          <w:numId w:val="4"/>
        </w:numPr>
        <w:tabs>
          <w:tab w:val="clear" w:pos="720"/>
          <w:tab w:val="left" w:pos="1440" w:leader="none"/>
        </w:tabs>
        <w:ind w:hanging="720" w:start="1440" w:end="0"/>
        <w:rPr>
          <w:sz w:val="22"/>
        </w:rPr>
      </w:pPr>
      <w:r>
        <w:rPr>
          <w:sz w:val="22"/>
        </w:rPr>
        <w:t>Responsible for training all new employees about the fundamentals of gas scheduling and the operations of various pipeline systems in the Northeast market area.</w:t>
      </w:r>
    </w:p>
    <w:p>
      <w:pPr>
        <w:pStyle w:val="Normal"/>
        <w:numPr>
          <w:ilvl w:val="0"/>
          <w:numId w:val="5"/>
        </w:numPr>
        <w:tabs>
          <w:tab w:val="clear" w:pos="720"/>
          <w:tab w:val="left" w:pos="-1350" w:leader="none"/>
          <w:tab w:val="left" w:pos="1440" w:leader="none"/>
        </w:tabs>
        <w:ind w:hanging="720" w:start="1440" w:end="0"/>
        <w:rPr>
          <w:sz w:val="22"/>
        </w:rPr>
      </w:pPr>
      <w:r>
        <w:rPr>
          <w:sz w:val="22"/>
        </w:rPr>
        <w:t>Scheduled gas transportation on multiple pipelines in the Northeast region.  Acquired detailed information of pipeline transportation charges, fuel rates, major interconnects, and constraint points for each individual pipeline.</w:t>
      </w:r>
    </w:p>
    <w:p>
      <w:pPr>
        <w:pStyle w:val="Normal"/>
        <w:tabs>
          <w:tab w:val="clear" w:pos="720"/>
          <w:tab w:val="left" w:pos="1440" w:leader="none"/>
        </w:tabs>
        <w:ind w:start="720" w:end="0"/>
        <w:rPr>
          <w:sz w:val="22"/>
        </w:rPr>
      </w:pPr>
      <w:r>
        <w:rPr>
          <w:sz w:val="22"/>
        </w:rPr>
        <w:t xml:space="preserve"> </w:t>
      </w:r>
    </w:p>
    <w:tbl>
      <w:tblPr>
        <w:tblW w:w="9558" w:type="dxa"/>
        <w:jc w:val="start"/>
        <w:tblInd w:w="0" w:type="dxa"/>
        <w:tblLayout w:type="fixed"/>
        <w:tblCellMar>
          <w:top w:w="0" w:type="dxa"/>
          <w:start w:w="108" w:type="dxa"/>
          <w:bottom w:w="0" w:type="dxa"/>
          <w:end w:w="108" w:type="dxa"/>
        </w:tblCellMar>
      </w:tblPr>
      <w:tblGrid>
        <w:gridCol w:w="1458"/>
        <w:gridCol w:w="5940"/>
        <w:gridCol w:w="2160"/>
      </w:tblGrid>
      <w:tr>
        <w:trPr/>
        <w:tc>
          <w:tcPr>
            <w:tcW w:w="1458" w:type="dxa"/>
            <w:tcBorders/>
          </w:tcPr>
          <w:p>
            <w:pPr>
              <w:pStyle w:val="Normal"/>
              <w:rPr>
                <w:sz w:val="22"/>
              </w:rPr>
            </w:pPr>
            <w:r>
              <w:rPr>
                <w:sz w:val="22"/>
              </w:rPr>
              <w:t xml:space="preserve">Sept 97 to </w:t>
            </w:r>
          </w:p>
        </w:tc>
        <w:tc>
          <w:tcPr>
            <w:tcW w:w="5940" w:type="dxa"/>
            <w:tcBorders/>
          </w:tcPr>
          <w:p>
            <w:pPr>
              <w:pStyle w:val="Heading3"/>
              <w:ind w:hanging="0" w:start="0"/>
              <w:rPr/>
            </w:pPr>
            <w:r>
              <w:rPr/>
              <w:t>Sabine Pipe Line Company</w:t>
            </w:r>
          </w:p>
        </w:tc>
        <w:tc>
          <w:tcPr>
            <w:tcW w:w="2160" w:type="dxa"/>
            <w:tcBorders/>
          </w:tcPr>
          <w:p>
            <w:pPr>
              <w:pStyle w:val="Normal"/>
              <w:jc w:val="end"/>
              <w:rPr>
                <w:sz w:val="22"/>
              </w:rPr>
            </w:pPr>
            <w:r>
              <w:rPr>
                <w:sz w:val="22"/>
              </w:rPr>
              <w:t>Houston, TX</w:t>
            </w:r>
          </w:p>
        </w:tc>
      </w:tr>
      <w:tr>
        <w:trPr/>
        <w:tc>
          <w:tcPr>
            <w:tcW w:w="1458" w:type="dxa"/>
            <w:tcBorders/>
          </w:tcPr>
          <w:p>
            <w:pPr>
              <w:pStyle w:val="Normal"/>
              <w:rPr>
                <w:sz w:val="22"/>
              </w:rPr>
            </w:pPr>
            <w:r>
              <w:rPr>
                <w:sz w:val="22"/>
              </w:rPr>
              <w:t>Nov 98</w:t>
            </w:r>
          </w:p>
        </w:tc>
        <w:tc>
          <w:tcPr>
            <w:tcW w:w="5940" w:type="dxa"/>
            <w:tcBorders/>
          </w:tcPr>
          <w:p>
            <w:pPr>
              <w:pStyle w:val="Heading4"/>
              <w:ind w:hanging="0" w:start="0"/>
              <w:rPr/>
            </w:pPr>
            <w:r>
              <w:rPr/>
              <w:t>Transportation &amp; Exchange Analyst</w:t>
            </w:r>
          </w:p>
        </w:tc>
        <w:tc>
          <w:tcPr>
            <w:tcW w:w="2160" w:type="dxa"/>
            <w:tcBorders/>
          </w:tcPr>
          <w:p>
            <w:pPr>
              <w:pStyle w:val="Normal"/>
              <w:snapToGrid w:val="false"/>
              <w:rPr>
                <w:sz w:val="22"/>
              </w:rPr>
            </w:pPr>
            <w:r>
              <w:rPr>
                <w:sz w:val="22"/>
              </w:rPr>
            </w:r>
          </w:p>
        </w:tc>
      </w:tr>
    </w:tbl>
    <w:p>
      <w:pPr>
        <w:pStyle w:val="Normal"/>
        <w:numPr>
          <w:ilvl w:val="0"/>
          <w:numId w:val="5"/>
        </w:numPr>
        <w:tabs>
          <w:tab w:val="clear" w:pos="720"/>
          <w:tab w:val="left" w:pos="-1350" w:leader="none"/>
          <w:tab w:val="left" w:pos="1440" w:leader="none"/>
        </w:tabs>
        <w:ind w:hanging="720" w:start="1440" w:end="0"/>
        <w:rPr>
          <w:sz w:val="22"/>
        </w:rPr>
      </w:pPr>
      <w:r>
        <w:rPr>
          <w:sz w:val="22"/>
        </w:rPr>
        <w:t>Managed customer accounts by providing detailed information such as transportation rates, gas control data, and billing information.  Supplied each customer contact with specific operational information that directly affected their gas transportation.</w:t>
      </w:r>
    </w:p>
    <w:p>
      <w:pPr>
        <w:pStyle w:val="Normal"/>
        <w:numPr>
          <w:ilvl w:val="0"/>
          <w:numId w:val="5"/>
        </w:numPr>
        <w:tabs>
          <w:tab w:val="clear" w:pos="720"/>
          <w:tab w:val="left" w:pos="-1350" w:leader="none"/>
          <w:tab w:val="left" w:pos="1440" w:leader="none"/>
        </w:tabs>
        <w:ind w:hanging="720" w:start="1440" w:end="0"/>
        <w:rPr>
          <w:sz w:val="22"/>
        </w:rPr>
      </w:pPr>
      <w:r>
        <w:rPr>
          <w:sz w:val="22"/>
        </w:rPr>
        <w:t>Monitored daily flow volumes on all Operational Balancing Agreements with interconnecting pipelines.</w:t>
      </w:r>
    </w:p>
    <w:p>
      <w:pPr>
        <w:pStyle w:val="Normal"/>
        <w:numPr>
          <w:ilvl w:val="0"/>
          <w:numId w:val="5"/>
        </w:numPr>
        <w:tabs>
          <w:tab w:val="clear" w:pos="720"/>
          <w:tab w:val="left" w:pos="-1350" w:leader="none"/>
          <w:tab w:val="left" w:pos="1440" w:leader="none"/>
        </w:tabs>
        <w:ind w:hanging="720" w:start="1440" w:end="0"/>
        <w:rPr>
          <w:sz w:val="22"/>
        </w:rPr>
      </w:pPr>
      <w:r>
        <w:rPr>
          <w:sz w:val="22"/>
        </w:rPr>
        <w:t>Confirmed shipper nominations, and scheduled pipeline receipts and deliveries for next days gas flow.</w:t>
      </w:r>
    </w:p>
    <w:p>
      <w:pPr>
        <w:pStyle w:val="Normal"/>
        <w:tabs>
          <w:tab w:val="clear" w:pos="720"/>
          <w:tab w:val="left" w:pos="1440" w:leader="none"/>
        </w:tabs>
        <w:ind w:start="720" w:end="0"/>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1458"/>
        <w:gridCol w:w="5940"/>
        <w:gridCol w:w="2160"/>
      </w:tblGrid>
      <w:tr>
        <w:trPr/>
        <w:tc>
          <w:tcPr>
            <w:tcW w:w="1458" w:type="dxa"/>
            <w:tcBorders/>
          </w:tcPr>
          <w:p>
            <w:pPr>
              <w:pStyle w:val="Normal"/>
              <w:rPr>
                <w:sz w:val="22"/>
              </w:rPr>
            </w:pPr>
            <w:r>
              <w:rPr>
                <w:sz w:val="22"/>
              </w:rPr>
              <w:t xml:space="preserve">Oct 96 to </w:t>
            </w:r>
          </w:p>
        </w:tc>
        <w:tc>
          <w:tcPr>
            <w:tcW w:w="5940" w:type="dxa"/>
            <w:tcBorders/>
          </w:tcPr>
          <w:p>
            <w:pPr>
              <w:pStyle w:val="Heading3"/>
              <w:ind w:hanging="0" w:start="0"/>
              <w:rPr/>
            </w:pPr>
            <w:r>
              <w:rPr/>
              <w:t>Disraeli &amp; Associates</w:t>
            </w:r>
          </w:p>
        </w:tc>
        <w:tc>
          <w:tcPr>
            <w:tcW w:w="2160" w:type="dxa"/>
            <w:tcBorders/>
          </w:tcPr>
          <w:p>
            <w:pPr>
              <w:pStyle w:val="Normal"/>
              <w:jc w:val="end"/>
              <w:rPr>
                <w:sz w:val="22"/>
              </w:rPr>
            </w:pPr>
            <w:r>
              <w:rPr>
                <w:sz w:val="22"/>
              </w:rPr>
              <w:t>Austin, TX</w:t>
            </w:r>
          </w:p>
        </w:tc>
      </w:tr>
      <w:tr>
        <w:trPr/>
        <w:tc>
          <w:tcPr>
            <w:tcW w:w="1458" w:type="dxa"/>
            <w:tcBorders/>
          </w:tcPr>
          <w:p>
            <w:pPr>
              <w:pStyle w:val="Normal"/>
              <w:rPr>
                <w:sz w:val="22"/>
              </w:rPr>
            </w:pPr>
            <w:r>
              <w:rPr>
                <w:sz w:val="22"/>
              </w:rPr>
              <w:t>May 97</w:t>
            </w:r>
          </w:p>
        </w:tc>
        <w:tc>
          <w:tcPr>
            <w:tcW w:w="5940" w:type="dxa"/>
            <w:tcBorders/>
          </w:tcPr>
          <w:p>
            <w:pPr>
              <w:pStyle w:val="Heading4"/>
              <w:ind w:hanging="0" w:start="0"/>
              <w:rPr/>
            </w:pPr>
            <w:r>
              <w:rPr/>
              <w:t>Financial Analyst</w:t>
            </w:r>
          </w:p>
        </w:tc>
        <w:tc>
          <w:tcPr>
            <w:tcW w:w="2160" w:type="dxa"/>
            <w:tcBorders/>
          </w:tcPr>
          <w:p>
            <w:pPr>
              <w:pStyle w:val="Normal"/>
              <w:snapToGrid w:val="false"/>
              <w:rPr>
                <w:sz w:val="22"/>
              </w:rPr>
            </w:pPr>
            <w:r>
              <w:rPr>
                <w:sz w:val="22"/>
              </w:rPr>
            </w:r>
          </w:p>
        </w:tc>
      </w:tr>
    </w:tbl>
    <w:p>
      <w:pPr>
        <w:pStyle w:val="Normal"/>
        <w:numPr>
          <w:ilvl w:val="0"/>
          <w:numId w:val="5"/>
        </w:numPr>
        <w:tabs>
          <w:tab w:val="clear" w:pos="720"/>
          <w:tab w:val="left" w:pos="-1350" w:leader="none"/>
          <w:tab w:val="left" w:pos="1440" w:leader="none"/>
        </w:tabs>
        <w:ind w:hanging="720" w:start="1440" w:end="0"/>
        <w:rPr>
          <w:sz w:val="22"/>
        </w:rPr>
      </w:pPr>
      <w:r>
        <w:rPr>
          <w:sz w:val="22"/>
        </w:rPr>
        <w:t>Contrasted alternative investment strategies using prior years of statistical information.</w:t>
      </w:r>
    </w:p>
    <w:p>
      <w:pPr>
        <w:pStyle w:val="Normal"/>
        <w:numPr>
          <w:ilvl w:val="0"/>
          <w:numId w:val="5"/>
        </w:numPr>
        <w:tabs>
          <w:tab w:val="clear" w:pos="720"/>
          <w:tab w:val="left" w:pos="-1350" w:leader="none"/>
          <w:tab w:val="left" w:pos="1440" w:leader="none"/>
        </w:tabs>
        <w:ind w:hanging="720" w:start="1440" w:end="0"/>
        <w:rPr>
          <w:sz w:val="22"/>
        </w:rPr>
      </w:pPr>
      <w:r>
        <w:rPr>
          <w:sz w:val="22"/>
        </w:rPr>
        <w:t>Contacted both prospective clients to schedule appointments, and current clients to inform them of their investment performance.</w:t>
      </w:r>
    </w:p>
    <w:p>
      <w:pPr>
        <w:pStyle w:val="Normal"/>
        <w:numPr>
          <w:ilvl w:val="0"/>
          <w:numId w:val="5"/>
        </w:numPr>
        <w:tabs>
          <w:tab w:val="clear" w:pos="720"/>
          <w:tab w:val="left" w:pos="-1350" w:leader="none"/>
          <w:tab w:val="left" w:pos="1440" w:leader="none"/>
        </w:tabs>
        <w:ind w:hanging="720" w:start="1440" w:end="0"/>
        <w:rPr>
          <w:sz w:val="22"/>
        </w:rPr>
      </w:pPr>
      <w:r>
        <w:rPr>
          <w:sz w:val="22"/>
        </w:rPr>
        <w:t>Downloaded market transactions and performed daily valuations for client portfolios.</w:t>
      </w:r>
    </w:p>
    <w:p>
      <w:pPr>
        <w:pStyle w:val="Normal"/>
        <w:tabs>
          <w:tab w:val="clear" w:pos="720"/>
          <w:tab w:val="left" w:pos="1440" w:leader="none"/>
        </w:tabs>
        <w:ind w:start="720" w:end="0"/>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738"/>
        <w:gridCol w:w="1350"/>
        <w:gridCol w:w="7488"/>
      </w:tblGrid>
      <w:tr>
        <w:trPr/>
        <w:tc>
          <w:tcPr>
            <w:tcW w:w="2088" w:type="dxa"/>
            <w:gridSpan w:val="2"/>
            <w:tcBorders/>
          </w:tcPr>
          <w:p>
            <w:pPr>
              <w:pStyle w:val="Normal"/>
              <w:tabs>
                <w:tab w:val="clear" w:pos="720"/>
                <w:tab w:val="left" w:pos="2070" w:leader="none"/>
                <w:tab w:val="left" w:pos="2430" w:leader="none"/>
              </w:tabs>
              <w:rPr>
                <w:b/>
                <w:sz w:val="22"/>
              </w:rPr>
            </w:pPr>
            <w:r>
              <w:rPr>
                <w:b/>
                <w:sz w:val="22"/>
              </w:rPr>
              <w:t>SKILLS</w:t>
            </w:r>
          </w:p>
        </w:tc>
        <w:tc>
          <w:tcPr>
            <w:tcW w:w="7488" w:type="dxa"/>
            <w:tcBorders/>
          </w:tcPr>
          <w:p>
            <w:pPr>
              <w:pStyle w:val="Normal"/>
              <w:tabs>
                <w:tab w:val="clear" w:pos="720"/>
                <w:tab w:val="left" w:pos="2070" w:leader="none"/>
                <w:tab w:val="left" w:pos="2430" w:leader="none"/>
              </w:tabs>
              <w:snapToGrid w:val="false"/>
              <w:rPr>
                <w:b/>
                <w:sz w:val="22"/>
              </w:rPr>
            </w:pPr>
            <w:r>
              <w:rPr>
                <w:b/>
                <w:sz w:val="22"/>
              </w:rPr>
            </w:r>
          </w:p>
        </w:tc>
      </w:tr>
      <w:tr>
        <w:trPr/>
        <w:tc>
          <w:tcPr>
            <w:tcW w:w="738" w:type="dxa"/>
            <w:tcBorders/>
          </w:tcPr>
          <w:p>
            <w:pPr>
              <w:pStyle w:val="Normal"/>
              <w:tabs>
                <w:tab w:val="clear" w:pos="720"/>
                <w:tab w:val="left" w:pos="2070" w:leader="none"/>
                <w:tab w:val="left" w:pos="2430" w:leader="none"/>
              </w:tabs>
              <w:snapToGrid w:val="false"/>
              <w:rPr>
                <w:b/>
                <w:sz w:val="22"/>
              </w:rPr>
            </w:pPr>
            <w:r>
              <w:rPr>
                <w:b/>
                <w:sz w:val="22"/>
              </w:rPr>
            </w:r>
          </w:p>
        </w:tc>
        <w:tc>
          <w:tcPr>
            <w:tcW w:w="8838" w:type="dxa"/>
            <w:gridSpan w:val="2"/>
            <w:tcBorders/>
          </w:tcPr>
          <w:p>
            <w:pPr>
              <w:pStyle w:val="Normal"/>
              <w:numPr>
                <w:ilvl w:val="0"/>
                <w:numId w:val="3"/>
              </w:numPr>
              <w:tabs>
                <w:tab w:val="clear" w:pos="720"/>
                <w:tab w:val="left" w:pos="702" w:leader="none"/>
                <w:tab w:val="left" w:pos="2070" w:leader="none"/>
                <w:tab w:val="left" w:pos="2430" w:leader="none"/>
              </w:tabs>
              <w:ind w:hanging="702" w:start="702" w:end="0"/>
              <w:rPr>
                <w:b/>
                <w:sz w:val="22"/>
              </w:rPr>
            </w:pPr>
            <w:r>
              <w:rPr>
                <w:sz w:val="22"/>
              </w:rPr>
              <w:t>Proficient with Microsoft Office programs such as Access, Excel, Powerpoint, and Word.</w:t>
            </w:r>
          </w:p>
          <w:p>
            <w:pPr>
              <w:pStyle w:val="Normal"/>
              <w:numPr>
                <w:ilvl w:val="0"/>
                <w:numId w:val="3"/>
              </w:numPr>
              <w:tabs>
                <w:tab w:val="clear" w:pos="720"/>
                <w:tab w:val="left" w:pos="702" w:leader="none"/>
                <w:tab w:val="left" w:pos="2070" w:leader="none"/>
                <w:tab w:val="left" w:pos="2430" w:leader="none"/>
              </w:tabs>
              <w:ind w:hanging="702" w:start="702" w:end="0"/>
              <w:rPr>
                <w:sz w:val="22"/>
              </w:rPr>
            </w:pPr>
            <w:r>
              <w:rPr>
                <w:sz w:val="22"/>
              </w:rPr>
              <w:t>Ability to record macros, graph, link, and program in Lotus and Excel.</w:t>
            </w:r>
          </w:p>
          <w:p>
            <w:pPr>
              <w:pStyle w:val="Normal"/>
              <w:numPr>
                <w:ilvl w:val="0"/>
                <w:numId w:val="6"/>
              </w:numPr>
              <w:tabs>
                <w:tab w:val="clear" w:pos="720"/>
                <w:tab w:val="left" w:pos="702" w:leader="none"/>
                <w:tab w:val="left" w:pos="2070" w:leader="none"/>
                <w:tab w:val="left" w:pos="2430" w:leader="none"/>
              </w:tabs>
              <w:rPr>
                <w:b/>
                <w:sz w:val="22"/>
              </w:rPr>
            </w:pPr>
            <w:r>
              <w:rPr>
                <w:sz w:val="22"/>
              </w:rPr>
              <w:t>Working knowledge of Spanish (16 college hours).</w:t>
            </w:r>
          </w:p>
        </w:tc>
      </w:tr>
    </w:tbl>
    <w:p>
      <w:pPr>
        <w:pStyle w:val="Normal"/>
        <w:tabs>
          <w:tab w:val="clear" w:pos="720"/>
          <w:tab w:val="left" w:pos="2070" w:leader="none"/>
          <w:tab w:val="left" w:pos="2430" w:leader="none"/>
        </w:tabs>
        <w:rPr>
          <w:b/>
          <w:sz w:val="22"/>
        </w:rPr>
      </w:pPr>
      <w:r>
        <w:rPr>
          <w:b/>
          <w:sz w:val="22"/>
        </w:rPr>
      </w:r>
    </w:p>
    <w:sectPr>
      <w:type w:val="nextPage"/>
      <w:pgSz w:w="12240" w:h="15840"/>
      <w:pgMar w:left="1440" w:right="144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sz w:val="22"/>
    </w:rPr>
  </w:style>
  <w:style w:type="paragraph" w:styleId="Heading4">
    <w:name w:val="heading 4"/>
    <w:basedOn w:val="Normal"/>
    <w:next w:val="Normal"/>
    <w:qFormat/>
    <w:pPr>
      <w:keepNext w:val="true"/>
      <w:numPr>
        <w:ilvl w:val="3"/>
        <w:numId w:val="1"/>
      </w:numPr>
      <w:outlineLvl w:val="3"/>
    </w:pPr>
    <w:rPr>
      <w:i/>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2000-03-23T19:15:00Z</dcterms:created>
  <dc:creator>Mike Clinchard</dc:creator>
  <dc:description/>
  <dc:language>en-CA</dc:language>
  <cp:lastModifiedBy>mecl</cp:lastModifiedBy>
  <dcterms:modified xsi:type="dcterms:W3CDTF">2000-03-29T14:41:00Z</dcterms:modified>
  <cp:revision>3</cp:revision>
  <dc:subject/>
  <dc:title>MICHAEL E</dc:title>
</cp:coreProperties>
</file>