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IVY GHOSE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Rice Graduate Apartments - Unit 121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1515 Bissonnet Street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Houston TX 77005 – 1866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(713) 533-1738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>ghosei@rice.edu</w:t>
      </w:r>
    </w:p>
    <w:p>
      <w:pPr>
        <w:pStyle w:val="Normal"/>
        <w:rPr/>
      </w:pPr>
      <w:r>
        <w:rPr>
          <w:b/>
          <w:bCs/>
          <w:sz w:val="20"/>
        </w:rPr>
        <w:t>Education</w:t>
      </w:r>
      <w:r>
        <w:rPr>
          <w:sz w:val="20"/>
        </w:rPr>
        <w:t xml:space="preserve"> </w:t>
        <w:tab/>
        <w:tab/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2000-2002</w:t>
        <w:tab/>
        <w:tab/>
        <w:t>RICE UNIVERSITY</w:t>
        <w:tab/>
        <w:tab/>
        <w:tab/>
        <w:tab/>
        <w:tab/>
        <w:tab/>
        <w:t xml:space="preserve">         HOUSTON, TX</w:t>
      </w:r>
    </w:p>
    <w:p>
      <w:pPr>
        <w:pStyle w:val="Normal"/>
        <w:ind w:start="2160" w:end="0"/>
        <w:rPr>
          <w:b/>
          <w:bCs/>
          <w:sz w:val="20"/>
        </w:rPr>
      </w:pPr>
      <w:r>
        <w:rPr>
          <w:b/>
          <w:bCs/>
          <w:sz w:val="20"/>
        </w:rPr>
        <w:t>JESSE H. JONES GRADUATE SCHOOL OF MANAGEMENT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 xml:space="preserve">Candidate for Master in Business Administration degree, May 2002 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>Activities: Member of Finance Club</w:t>
      </w:r>
    </w:p>
    <w:p>
      <w:pPr>
        <w:pStyle w:val="Normal"/>
        <w:ind w:firstLine="720" w:start="1440" w:end="0"/>
        <w:rPr/>
      </w:pPr>
      <w:r>
        <w:rPr>
          <w:b/>
          <w:bCs/>
          <w:sz w:val="20"/>
        </w:rPr>
        <w:t>GMAT 680 (91</w:t>
      </w:r>
      <w:r>
        <w:rPr>
          <w:b/>
          <w:bCs/>
          <w:sz w:val="20"/>
          <w:vertAlign w:val="superscript"/>
        </w:rPr>
        <w:t>st</w:t>
      </w:r>
      <w:r>
        <w:rPr>
          <w:b/>
          <w:bCs/>
          <w:sz w:val="20"/>
        </w:rPr>
        <w:t xml:space="preserve"> percentile)</w:t>
      </w:r>
    </w:p>
    <w:p>
      <w:pPr>
        <w:pStyle w:val="Normal"/>
        <w:ind w:firstLine="720" w:start="144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1994-1998</w:t>
        <w:tab/>
        <w:tab/>
        <w:t>INSTITUTE OF CHARTERED ACCOUNTANTS OF INDIA</w:t>
        <w:tab/>
        <w:t xml:space="preserve">     BOMBAY, INDIA</w:t>
      </w:r>
    </w:p>
    <w:p>
      <w:pPr>
        <w:pStyle w:val="Normal"/>
        <w:ind w:start="2160" w:end="0"/>
        <w:jc w:val="both"/>
        <w:rPr>
          <w:sz w:val="20"/>
        </w:rPr>
      </w:pPr>
      <w:r>
        <w:rPr>
          <w:sz w:val="20"/>
        </w:rPr>
        <w:t>Certified as Chartered Accountant in July 1998 (Indian equivalent of CPA)</w:t>
      </w:r>
    </w:p>
    <w:p>
      <w:pPr>
        <w:pStyle w:val="Normal"/>
        <w:ind w:start="2160" w:end="0"/>
        <w:jc w:val="both"/>
        <w:rPr/>
      </w:pPr>
      <w:r>
        <w:rPr>
          <w:sz w:val="20"/>
        </w:rPr>
        <w:t>Requirements for certification for the Chartered Accountancy Program included working 35 hours a week during undergraduate studies</w:t>
      </w:r>
      <w:r>
        <w:rPr>
          <w:b/>
          <w:bCs/>
          <w:sz w:val="20"/>
        </w:rPr>
        <w:t xml:space="preserve">. </w:t>
      </w:r>
      <w:r>
        <w:rPr>
          <w:sz w:val="20"/>
        </w:rPr>
        <w:t>Graduated in top 10 percentile of the class.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1994-1997</w:t>
        <w:tab/>
        <w:tab/>
        <w:t>BOMBAY UNIVERSITY</w:t>
        <w:tab/>
        <w:tab/>
        <w:tab/>
        <w:tab/>
        <w:tab/>
        <w:t xml:space="preserve">     BOMBAY, INDIA</w:t>
      </w:r>
    </w:p>
    <w:p>
      <w:pPr>
        <w:pStyle w:val="Normal"/>
        <w:ind w:start="2160" w:end="0"/>
        <w:jc w:val="both"/>
        <w:rPr>
          <w:sz w:val="20"/>
        </w:rPr>
      </w:pPr>
      <w:r>
        <w:rPr>
          <w:sz w:val="20"/>
        </w:rPr>
        <w:t>Bachelor of Commerce – Graduated in top 20 percentile of the class.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2000</w:t>
        <w:tab/>
        <w:tab/>
        <w:tab/>
        <w:t>APTECH COMPUTER EDUCATION</w:t>
        <w:tab/>
        <w:tab/>
        <w:tab/>
        <w:tab/>
        <w:t xml:space="preserve">     BOMBAY, INDIA</w:t>
      </w:r>
    </w:p>
    <w:p>
      <w:pPr>
        <w:pStyle w:val="Normal"/>
        <w:ind w:firstLine="720" w:end="0"/>
        <w:rPr/>
      </w:pPr>
      <w:r>
        <w:rPr>
          <w:b/>
          <w:bCs/>
          <w:sz w:val="20"/>
        </w:rPr>
        <w:tab/>
        <w:tab/>
      </w:r>
      <w:r>
        <w:rPr>
          <w:sz w:val="20"/>
        </w:rPr>
        <w:t>Certified Programmer in Visual Basic, Java and Oracle.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Experience</w:t>
        <w:tab/>
        <w:tab/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Jan 2001- May 2001</w:t>
        <w:tab/>
        <w:t>ENRON CORP</w:t>
      </w:r>
    </w:p>
    <w:p>
      <w:pPr>
        <w:pStyle w:val="Normal"/>
        <w:rPr/>
      </w:pPr>
      <w:r>
        <w:rPr/>
        <w:tab/>
        <w:tab/>
        <w:tab/>
      </w:r>
      <w:r>
        <w:rPr>
          <w:sz w:val="20"/>
        </w:rPr>
        <w:t>Project on the competitive landscape of EnronOnline.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2000</w:t>
        <w:tab/>
        <w:tab/>
        <w:tab/>
        <w:t>GOURI INVESTMENTS</w:t>
        <w:tab/>
        <w:tab/>
        <w:tab/>
        <w:tab/>
        <w:tab/>
        <w:t xml:space="preserve">     BOMBAY, INDIA</w:t>
      </w:r>
    </w:p>
    <w:p>
      <w:pPr>
        <w:pStyle w:val="Heading1"/>
        <w:ind w:hanging="0" w:start="0"/>
        <w:rPr/>
      </w:pPr>
      <w:r>
        <w:rPr>
          <w:sz w:val="20"/>
        </w:rPr>
        <w:tab/>
        <w:tab/>
        <w:tab/>
      </w:r>
      <w:r>
        <w:rPr>
          <w:b w:val="false"/>
          <w:bCs w:val="false"/>
          <w:i/>
          <w:iCs/>
          <w:sz w:val="20"/>
        </w:rPr>
        <w:t>Investment Manager</w:t>
        <w:tab/>
      </w:r>
    </w:p>
    <w:p>
      <w:pPr>
        <w:pStyle w:val="BodyTextIndent2"/>
        <w:rPr/>
      </w:pPr>
      <w:r>
        <w:rPr/>
        <w:t>Advised the firm on mix of investments: stocks / mutual funds / bonds and selected stocks and bonds for investing through active participation in financial statement analysis.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/>
          <w:bCs/>
          <w:sz w:val="20"/>
        </w:rPr>
        <w:t>1997-1999</w:t>
        <w:tab/>
        <w:tab/>
        <w:t>DELOITTE HASKINS AND SELLS</w:t>
      </w:r>
      <w:r>
        <w:rPr>
          <w:sz w:val="20"/>
        </w:rPr>
        <w:tab/>
        <w:tab/>
        <w:tab/>
        <w:tab/>
        <w:t xml:space="preserve">     </w:t>
      </w:r>
      <w:r>
        <w:rPr>
          <w:b/>
          <w:bCs/>
          <w:sz w:val="20"/>
        </w:rPr>
        <w:t>BOMBAY, INDIA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  <w:tab/>
        <w:tab/>
        <w:t>(Member firm of Deloitte Touche Tohmatsu)</w:t>
      </w:r>
    </w:p>
    <w:p>
      <w:pPr>
        <w:pStyle w:val="Normal"/>
        <w:rPr/>
      </w:pPr>
      <w:r>
        <w:rPr>
          <w:sz w:val="20"/>
        </w:rPr>
        <w:tab/>
        <w:tab/>
        <w:tab/>
      </w:r>
      <w:r>
        <w:rPr>
          <w:i/>
          <w:iCs/>
          <w:sz w:val="20"/>
        </w:rPr>
        <w:t>Assistant Manager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Participated in a team for audit of annual accounts of Reliance Industries Ltd.(RIL) - India’s largest private sector company with $4.6 billion in revenues, per Indian Statutes.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Participated in a team for converting Indian Accounts of RIL to US GAAP and IAS.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Converted investments in securities and subsidiaries and affiliate companies of the client from Indian GAAP to US GAAP.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Conducted workshops on conversion of Indian accounts to US GAAP and IAS.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Participated in a team for Statutory Audit of Finance Company.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Audited the loans portfolio, interest costs, fixed assets and lease and hire purchase transactions and ensured client’s compliance with governing statutes.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Presented key audit issues and accounting policies to Chartered Accountants as part of internal training program.</w:t>
      </w:r>
    </w:p>
    <w:p>
      <w:pPr>
        <w:pStyle w:val="Normal"/>
        <w:ind w:firstLine="720" w:start="1440" w:end="0"/>
        <w:jc w:val="both"/>
        <w:rPr>
          <w:i/>
          <w:i/>
          <w:iCs/>
          <w:sz w:val="20"/>
        </w:rPr>
      </w:pPr>
      <w:r>
        <w:rPr>
          <w:i/>
          <w:iCs/>
          <w:sz w:val="20"/>
        </w:rPr>
        <w:t>Senior Audit Assistant</w:t>
      </w:r>
    </w:p>
    <w:p>
      <w:pPr>
        <w:pStyle w:val="BodyTextIndent"/>
        <w:jc w:val="both"/>
        <w:rPr/>
      </w:pPr>
      <w:r>
        <w:rPr/>
        <w:t>Internal Audit of Treasury Operations and Borrowings Portfolio of Reliance Industries Ltd.(An unique assignment, this was the first and only Treasury audit in the firm).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0"/>
        </w:rPr>
      </w:pPr>
      <w:r>
        <w:rPr>
          <w:sz w:val="20"/>
        </w:rPr>
        <w:t>Compiled monthly reports and made recommendations to management on accounting treatment and internal control systems of derivative instruments and foreign exchange transactions.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sz w:val="20"/>
        </w:rPr>
      </w:pPr>
      <w:r>
        <w:rPr>
          <w:sz w:val="20"/>
        </w:rPr>
        <w:t>Presented paper on concepts and use of derivatives in India to partners of the firm and trained staff on concepts and auditing practices of foreign exchange and derivative transactions.</w:t>
      </w:r>
    </w:p>
    <w:p>
      <w:pPr>
        <w:pStyle w:val="Normal"/>
        <w:ind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hanging="2160" w:start="2160" w:end="0"/>
        <w:rPr/>
      </w:pPr>
      <w:r>
        <w:rPr>
          <w:b/>
          <w:bCs/>
          <w:sz w:val="20"/>
        </w:rPr>
        <w:t>Personal</w:t>
        <w:tab/>
        <w:t xml:space="preserve">Interests: </w:t>
      </w:r>
      <w:r>
        <w:rPr>
          <w:sz w:val="20"/>
        </w:rPr>
        <w:t xml:space="preserve">Films, reading, and publishing articles on financial and economic topics viz. US GAAP, derivative instruments, asset securitization etc. </w:t>
      </w:r>
    </w:p>
    <w:p>
      <w:pPr>
        <w:pStyle w:val="Normal"/>
        <w:ind w:hanging="2160" w:start="2160" w:end="0"/>
        <w:rPr/>
      </w:pPr>
      <w:r>
        <w:rPr>
          <w:b/>
          <w:bCs/>
          <w:sz w:val="20"/>
        </w:rPr>
        <w:tab/>
        <w:t>Languages:</w:t>
      </w:r>
      <w:r>
        <w:rPr>
          <w:sz w:val="20"/>
        </w:rPr>
        <w:t xml:space="preserve"> Hindi, Bengali</w:t>
      </w:r>
    </w:p>
    <w:sectPr>
      <w:type w:val="nextPage"/>
      <w:pgSz w:w="12240" w:h="15840"/>
      <w:pgMar w:left="1008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2000"/>
      <w:numFmt w:val="decimal"/>
      <w:lvlText w:val="%1"/>
      <w:lvlJc w:val="start"/>
      <w:pPr>
        <w:tabs>
          <w:tab w:val="num" w:pos="2160"/>
        </w:tabs>
        <w:ind w:start="216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4"/>
      </w:numPr>
      <w:outlineLvl w:val="1"/>
    </w:pPr>
    <w:rPr>
      <w:b/>
      <w:bCs/>
      <w:sz w:val="20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5">
    <w:name w:val="WW8Num6z5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b/>
      <w:i w:val="fals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0"/>
    </w:rPr>
  </w:style>
  <w:style w:type="paragraph" w:styleId="BodyTextIndent2">
    <w:name w:val="Body Text Indent 2"/>
    <w:basedOn w:val="Normal"/>
    <w:qFormat/>
    <w:pPr>
      <w:ind w:hanging="0" w:start="2160" w:end="0"/>
      <w:jc w:val="both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2000-08-18T12:11:00Z</dcterms:created>
  <dc:creator>JGS</dc:creator>
  <dc:description/>
  <dc:language>en-CA</dc:language>
  <cp:lastModifiedBy>JGS</cp:lastModifiedBy>
  <cp:lastPrinted>2000-10-20T14:57:00Z</cp:lastPrinted>
  <dcterms:modified xsi:type="dcterms:W3CDTF">2001-04-23T18:20:00Z</dcterms:modified>
  <cp:revision>54</cp:revision>
  <dc:subject/>
  <dc:title>IVY GHOSE</dc:title>
</cp:coreProperties>
</file>