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cumentLabel"/>
        <w:spacing w:before="140" w:after="540"/>
        <w:rPr>
          <w:rFonts w:ascii="Book Antiqua" w:hAnsi="Book Antiqua" w:cs="Book Antiqua"/>
        </w:rPr>
      </w:pPr>
      <w:bookmarkStart w:id="0" w:name="xgraphic"/>
      <w:bookmarkEnd w:id="0"/>
      <w:r>
        <mc:AlternateContent>
          <mc:Choice Requires="wps">
            <w:drawing>
              <wp:anchor behindDoc="1" distT="0" distB="0" distL="114935" distR="114935" simplePos="0" locked="0" layoutInCell="0" allowOverlap="1" relativeHeight="4">
                <wp:simplePos x="0" y="0"/>
                <wp:positionH relativeFrom="page">
                  <wp:posOffset>1695450</wp:posOffset>
                </wp:positionH>
                <wp:positionV relativeFrom="page">
                  <wp:posOffset>457200</wp:posOffset>
                </wp:positionV>
                <wp:extent cx="34925" cy="762000"/>
                <wp:effectExtent l="2540" t="1905" r="1270" b="190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0" cy="7621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2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dfdfdf" stroked="t" o:allowincell="f" style="position:absolute;margin-left:133.5pt;margin-top:36pt;width:2.7pt;height:59.95pt;mso-wrap-style:none;v-text-anchor:middle;mso-position-horizontal-relative:page;mso-position-vertical-relative:page">
                <v:fill o:detectmouseclick="t" type="solid" color2="#202020"/>
                <v:stroke color="white" weight="324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5">
                <wp:simplePos x="0" y="0"/>
                <wp:positionH relativeFrom="page">
                  <wp:posOffset>5486400</wp:posOffset>
                </wp:positionH>
                <wp:positionV relativeFrom="page">
                  <wp:posOffset>1463040</wp:posOffset>
                </wp:positionV>
                <wp:extent cx="1676400" cy="34925"/>
                <wp:effectExtent l="1905" t="2540" r="1905" b="127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520" cy="349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2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dfdfdf" stroked="t" o:allowincell="f" style="position:absolute;margin-left:432pt;margin-top:115.2pt;width:131.95pt;height:2.7pt;mso-wrap-style:none;v-text-anchor:middle;mso-position-horizontal-relative:page;mso-position-vertical-relative:page">
                <v:fill o:detectmouseclick="t" type="solid" color2="#202020"/>
                <v:stroke color="white" weight="3240" joinstyle="miter" endcap="flat"/>
                <w10:wrap type="none"/>
              </v:rect>
            </w:pict>
          </mc:Fallback>
        </mc:AlternateContent>
      </w:r>
      <w:r>
        <w:rPr>
          <w:rFonts w:cs="Book Antiqua" w:ascii="Book Antiqua" w:hAnsi="Book Antiqua"/>
        </w:rPr>
        <w:t>Memorandum</w:t>
      </w:r>
    </w:p>
    <w:p>
      <w:pPr>
        <w:pStyle w:val="MessageHeaderFirst"/>
        <w:rPr/>
      </w:pPr>
      <w:r>
        <w:rPr>
          <w:rStyle w:val="MessageHeaderLabel"/>
          <w:rFonts w:cs="Book Antiqua" w:ascii="Book Antiqua" w:hAnsi="Book Antiqua"/>
          <w:spacing w:val="-20"/>
        </w:rPr>
        <w:t>T</w:t>
      </w:r>
      <w:r>
        <w:rPr>
          <w:rStyle w:val="MessageHeaderLabel"/>
          <w:rFonts w:cs="Book Antiqua" w:ascii="Book Antiqua" w:hAnsi="Book Antiqua"/>
        </w:rPr>
        <w:t>o:</w:t>
      </w:r>
      <w:r>
        <w:rPr>
          <w:rFonts w:cs="Book Antiqua" w:ascii="Book Antiqua" w:hAnsi="Book Antiqua"/>
        </w:rPr>
        <w:tab/>
        <w:t>Drew Fossum</w:t>
      </w:r>
    </w:p>
    <w:p>
      <w:pPr>
        <w:pStyle w:val="MessageHeader"/>
        <w:rPr/>
      </w:pPr>
      <w:r>
        <w:rPr>
          <w:rStyle w:val="MessageHeaderLabel"/>
          <w:rFonts w:cs="Book Antiqua" w:ascii="Book Antiqua" w:hAnsi="Book Antiqua"/>
        </w:rPr>
        <w:t>CC:</w:t>
      </w:r>
      <w:r>
        <w:rPr>
          <w:rFonts w:cs="Book Antiqua" w:ascii="Book Antiqua" w:hAnsi="Book Antiqua"/>
        </w:rPr>
        <w:tab/>
      </w:r>
    </w:p>
    <w:p>
      <w:pPr>
        <w:pStyle w:val="MessageHeader"/>
        <w:rPr/>
      </w:pPr>
      <w:r>
        <w:rPr>
          <w:rStyle w:val="MessageHeaderLabel"/>
          <w:rFonts w:cs="Book Antiqua" w:ascii="Book Antiqua" w:hAnsi="Book Antiqua"/>
        </w:rPr>
        <w:t>From:</w:t>
      </w:r>
      <w:r>
        <w:rPr>
          <w:rFonts w:cs="Book Antiqua" w:ascii="Book Antiqua" w:hAnsi="Book Antiqua"/>
        </w:rPr>
        <w:tab/>
        <w:t>James Centilli and Dave Foti</w:t>
      </w:r>
    </w:p>
    <w:p>
      <w:pPr>
        <w:pStyle w:val="MessageHeader"/>
        <w:rPr>
          <w:rFonts w:ascii="Book Antiqua" w:hAnsi="Book Antiqua" w:cs="Book Antiqua"/>
        </w:rPr>
      </w:pPr>
      <w:r>
        <w:rPr>
          <w:rStyle w:val="MessageHeaderLabel"/>
          <w:rFonts w:cs="Book Antiqua" w:ascii="Book Antiqua" w:hAnsi="Book Antiqua"/>
        </w:rPr>
        <w:t>Date:</w:t>
      </w:r>
      <w:r>
        <w:rPr>
          <w:rFonts w:cs="Book Antiqua" w:ascii="Book Antiqua" w:hAnsi="Book Antiqua"/>
        </w:rPr>
        <w:tab/>
      </w:r>
      <w:r>
        <w:rPr>
          <w:rFonts w:cs="Book Antiqua" w:ascii="Book Antiqua" w:hAnsi="Book Antiqua"/>
        </w:rPr>
        <w:fldChar w:fldCharType="begin"/>
      </w:r>
      <w:r>
        <w:rPr>
          <w:rFonts w:cs="Book Antiqua" w:ascii="Book Antiqua" w:hAnsi="Book Antiqua"/>
        </w:rPr>
        <w:instrText xml:space="preserve"> DATE \@"M/d/yyyy" </w:instrText>
      </w:r>
      <w:r>
        <w:rPr>
          <w:rFonts w:cs="Book Antiqua" w:ascii="Book Antiqua" w:hAnsi="Book Antiqua"/>
        </w:rPr>
        <w:fldChar w:fldCharType="separate"/>
      </w:r>
      <w:r>
        <w:rPr>
          <w:rFonts w:cs="Book Antiqua" w:ascii="Book Antiqua" w:hAnsi="Book Antiqua"/>
        </w:rPr>
        <w:t>9/28/2025</w:t>
      </w:r>
      <w:r>
        <w:rPr>
          <w:rFonts w:cs="Book Antiqua" w:ascii="Book Antiqua" w:hAnsi="Book Antiqua"/>
        </w:rPr>
        <w:fldChar w:fldCharType="end"/>
      </w:r>
    </w:p>
    <w:p>
      <w:pPr>
        <w:pStyle w:val="MessageHeaderLast"/>
        <w:rPr/>
      </w:pPr>
      <w:r>
        <w:rPr>
          <w:rStyle w:val="MessageHeaderLabel"/>
          <w:rFonts w:cs="Book Antiqua" w:ascii="Book Antiqua" w:hAnsi="Book Antiqua"/>
        </w:rPr>
        <w:t>Re:</w:t>
      </w:r>
      <w:r>
        <w:rPr>
          <w:rFonts w:cs="Book Antiqua" w:ascii="Book Antiqua" w:hAnsi="Book Antiqua"/>
        </w:rPr>
        <w:tab/>
        <w:t>DRAFT - Analysis of the ECS Hubbard Restructure Proposal</w:t>
      </w:r>
    </w:p>
    <w:p>
      <w:pPr>
        <w:pStyle w:val="Closing"/>
        <w:spacing w:lineRule="auto" w:line="240"/>
        <w:rPr>
          <w:rFonts w:ascii="Book Antiqua" w:hAnsi="Book Antiqua" w:cs="Book Antiqua"/>
          <w:b/>
          <w:u w:val="single"/>
        </w:rPr>
      </w:pPr>
      <w:r>
        <w:rPr>
          <w:rFonts w:cs="Book Antiqua" w:ascii="Book Antiqua" w:hAnsi="Book Antiqua"/>
          <w:b/>
          <w:u w:val="single"/>
        </w:rPr>
        <w:t>Background</w:t>
      </w:r>
      <w:r>
        <mc:AlternateContent>
          <mc:Choice Requires="wps">
            <w:drawing>
              <wp:anchor behindDoc="0" distT="118745" distB="0" distL="118745" distR="118745" simplePos="0" locked="0" layoutInCell="0" allowOverlap="1" relativeHeight="2">
                <wp:simplePos x="0" y="0"/>
                <wp:positionH relativeFrom="page">
                  <wp:posOffset>613410</wp:posOffset>
                </wp:positionH>
                <wp:positionV relativeFrom="page">
                  <wp:align>bottom</wp:align>
                </wp:positionV>
                <wp:extent cx="3282950" cy="1143000"/>
                <wp:effectExtent l="0" t="0" r="0" b="0"/>
                <wp:wrapSquare wrapText="bothSides"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2950" cy="11430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logan"/>
                              <w:rPr>
                                <w:rFonts w:ascii="Book Antiqua" w:hAnsi="Book Antiqua" w:cs="Book Antiqua"/>
                              </w:rPr>
                            </w:pPr>
                            <w:r>
                              <w:rPr>
                                <w:rFonts w:cs="Book Antiqua" w:ascii="Book Antiqua" w:hAnsi="Book Antiqua"/>
                              </w:rPr>
                              <w:t>Confidential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58.5pt;height:90pt;mso-wrap-distance-left:9.35pt;mso-wrap-distance-right:9.35pt;mso-wrap-distance-top:9.35pt;mso-wrap-distance-bottom:0pt;margin-top:702pt;mso-position-vertical:bottom;mso-position-vertical-relative:page;margin-left:48.3pt;mso-position-horizontal-relative:page">
                <v:fill opacity="0f"/>
                <v:textbox inset="0in,0in,0in,0in">
                  <w:txbxContent>
                    <w:p>
                      <w:pPr>
                        <w:pStyle w:val="Slogan"/>
                        <w:rPr>
                          <w:rFonts w:ascii="Book Antiqua" w:hAnsi="Book Antiqua" w:cs="Book Antiqua"/>
                        </w:rPr>
                      </w:pPr>
                      <w:r>
                        <w:rPr>
                          <w:rFonts w:cs="Book Antiqua" w:ascii="Book Antiqua" w:hAnsi="Book Antiqua"/>
                        </w:rPr>
                        <w:t>Confidential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losing"/>
        <w:numPr>
          <w:ilvl w:val="0"/>
          <w:numId w:val="3"/>
        </w:numPr>
        <w:tabs>
          <w:tab w:val="clear" w:pos="720"/>
          <w:tab w:val="left" w:pos="1200" w:leader="none"/>
        </w:tabs>
        <w:spacing w:lineRule="auto" w:line="240"/>
        <w:ind w:hanging="360" w:start="1200" w:end="-360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NNG originally entered into an agreement with ECS to swap gas for Hphrs when Hubbard was constructed in 1995.</w:t>
      </w:r>
    </w:p>
    <w:p>
      <w:pPr>
        <w:pStyle w:val="Closing"/>
        <w:numPr>
          <w:ilvl w:val="0"/>
          <w:numId w:val="3"/>
        </w:numPr>
        <w:tabs>
          <w:tab w:val="clear" w:pos="720"/>
          <w:tab w:val="left" w:pos="1200" w:leader="none"/>
        </w:tabs>
        <w:spacing w:lineRule="auto" w:line="240"/>
        <w:ind w:hanging="360" w:start="1200" w:end="-360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The contract was revised in 1997 to adjust the applicable levels for heat rate and O&amp;M reimbursement.</w:t>
      </w:r>
    </w:p>
    <w:p>
      <w:pPr>
        <w:pStyle w:val="Closing"/>
        <w:spacing w:lineRule="auto" w:line="240"/>
        <w:ind w:hanging="270" w:start="1170" w:end="-360"/>
        <w:rPr>
          <w:rFonts w:ascii="Book Antiqua" w:hAnsi="Book Antiqua" w:cs="Book Antiqua"/>
        </w:rPr>
      </w:pPr>
      <w:r>
        <w:rPr>
          <w:rFonts w:cs="Book Antiqua" w:ascii="Book Antiqua" w:hAnsi="Book Antiqua"/>
        </w:rPr>
      </w:r>
    </w:p>
    <w:p>
      <w:pPr>
        <w:pStyle w:val="Closing"/>
        <w:spacing w:lineRule="auto" w:line="240"/>
        <w:ind w:start="810" w:end="-360"/>
        <w:rPr>
          <w:rFonts w:ascii="Book Antiqua" w:hAnsi="Book Antiqua" w:cs="Book Antiqua"/>
          <w:b/>
          <w:u w:val="single"/>
        </w:rPr>
      </w:pPr>
      <w:r>
        <w:rPr>
          <w:rFonts w:cs="Book Antiqua" w:ascii="Book Antiqua" w:hAnsi="Book Antiqua"/>
          <w:b/>
          <w:u w:val="single"/>
        </w:rPr>
        <w:t>Current Situation</w:t>
      </w:r>
    </w:p>
    <w:p>
      <w:pPr>
        <w:pStyle w:val="Closing"/>
        <w:numPr>
          <w:ilvl w:val="0"/>
          <w:numId w:val="4"/>
        </w:numPr>
        <w:tabs>
          <w:tab w:val="clear" w:pos="720"/>
          <w:tab w:val="left" w:pos="1170" w:leader="none"/>
        </w:tabs>
        <w:spacing w:lineRule="auto" w:line="240"/>
        <w:ind w:hanging="360" w:start="1170" w:end="-360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NNG subject to monthly take-or-pay minimums for usage</w:t>
      </w:r>
    </w:p>
    <w:p>
      <w:pPr>
        <w:pStyle w:val="Closing"/>
        <w:numPr>
          <w:ilvl w:val="0"/>
          <w:numId w:val="4"/>
        </w:numPr>
        <w:tabs>
          <w:tab w:val="clear" w:pos="720"/>
          <w:tab w:val="left" w:pos="1170" w:leader="none"/>
        </w:tabs>
        <w:spacing w:lineRule="auto" w:line="240"/>
        <w:ind w:hanging="360" w:start="1170" w:end="-360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 xml:space="preserve">NNG missed minimum usage levels 8 months in 1999 equivalent to 86,000 Mmbtus. </w:t>
      </w:r>
    </w:p>
    <w:p>
      <w:pPr>
        <w:pStyle w:val="Closing"/>
        <w:numPr>
          <w:ilvl w:val="0"/>
          <w:numId w:val="4"/>
        </w:numPr>
        <w:tabs>
          <w:tab w:val="clear" w:pos="720"/>
          <w:tab w:val="left" w:pos="1170" w:leader="none"/>
        </w:tabs>
        <w:spacing w:lineRule="auto" w:line="240"/>
        <w:ind w:hanging="360" w:start="1170" w:end="-360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Heat Rate (energy charge) is 10,300 Btu/Hphr</w:t>
      </w:r>
    </w:p>
    <w:p>
      <w:pPr>
        <w:pStyle w:val="Closing"/>
        <w:spacing w:lineRule="auto" w:line="240"/>
        <w:ind w:hanging="270" w:start="1170" w:end="-360"/>
        <w:rPr>
          <w:rFonts w:ascii="Book Antiqua" w:hAnsi="Book Antiqua" w:cs="Book Antiqua"/>
        </w:rPr>
      </w:pPr>
      <w:r>
        <w:rPr>
          <w:rFonts w:cs="Book Antiqua" w:ascii="Book Antiqua" w:hAnsi="Book Antiqua"/>
        </w:rPr>
      </w:r>
    </w:p>
    <w:p>
      <w:pPr>
        <w:pStyle w:val="Closing"/>
        <w:spacing w:lineRule="auto" w:line="240"/>
        <w:ind w:start="810" w:end="-360"/>
        <w:rPr>
          <w:rFonts w:ascii="Book Antiqua" w:hAnsi="Book Antiqua" w:cs="Book Antiqua"/>
          <w:b/>
          <w:u w:val="single"/>
        </w:rPr>
      </w:pPr>
      <w:r>
        <w:rPr>
          <w:rFonts w:cs="Book Antiqua" w:ascii="Book Antiqua" w:hAnsi="Book Antiqua"/>
          <w:b/>
          <w:u w:val="single"/>
        </w:rPr>
        <w:t>Proposal A – Eliminate Minimums and Increase Heat Rate</w:t>
      </w:r>
    </w:p>
    <w:p>
      <w:pPr>
        <w:pStyle w:val="Closing"/>
        <w:numPr>
          <w:ilvl w:val="0"/>
          <w:numId w:val="5"/>
        </w:numPr>
        <w:tabs>
          <w:tab w:val="clear" w:pos="720"/>
          <w:tab w:val="left" w:pos="1170" w:leader="none"/>
        </w:tabs>
        <w:spacing w:lineRule="auto" w:line="240"/>
        <w:ind w:hanging="270" w:start="1080" w:end="-360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Monthly minimums are eliminated</w:t>
      </w:r>
    </w:p>
    <w:p>
      <w:pPr>
        <w:pStyle w:val="Closing"/>
        <w:numPr>
          <w:ilvl w:val="0"/>
          <w:numId w:val="5"/>
        </w:numPr>
        <w:tabs>
          <w:tab w:val="clear" w:pos="720"/>
          <w:tab w:val="left" w:pos="1170" w:leader="none"/>
        </w:tabs>
        <w:spacing w:lineRule="auto" w:line="240"/>
        <w:ind w:hanging="270" w:start="1080" w:end="-360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Heat rate increases to 18,157 Btu/Hphr at average load factor</w:t>
      </w:r>
    </w:p>
    <w:p>
      <w:pPr>
        <w:pStyle w:val="Closing"/>
        <w:numPr>
          <w:ilvl w:val="0"/>
          <w:numId w:val="5"/>
        </w:numPr>
        <w:tabs>
          <w:tab w:val="clear" w:pos="720"/>
          <w:tab w:val="left" w:pos="1170" w:leader="none"/>
        </w:tabs>
        <w:spacing w:lineRule="auto" w:line="240"/>
        <w:ind w:hanging="270" w:start="1080" w:end="-360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ECS pays NNG contract termination fee of $3.9 MM ($2.25/mmbtu)</w:t>
      </w:r>
    </w:p>
    <w:p>
      <w:pPr>
        <w:pStyle w:val="Closing"/>
        <w:numPr>
          <w:ilvl w:val="0"/>
          <w:numId w:val="5"/>
        </w:numPr>
        <w:tabs>
          <w:tab w:val="clear" w:pos="720"/>
          <w:tab w:val="left" w:pos="1170" w:leader="none"/>
        </w:tabs>
        <w:spacing w:lineRule="auto" w:line="240"/>
        <w:ind w:hanging="270" w:start="1080" w:end="-360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Increased heat rate results in a PV premium of $6.1 MM</w:t>
      </w:r>
    </w:p>
    <w:p>
      <w:pPr>
        <w:pStyle w:val="Closing"/>
        <w:spacing w:lineRule="auto" w:line="240"/>
        <w:ind w:hanging="270" w:start="1170" w:end="-360"/>
        <w:rPr>
          <w:rFonts w:ascii="Book Antiqua" w:hAnsi="Book Antiqua" w:cs="Book Antiqua"/>
        </w:rPr>
      </w:pPr>
      <w:r>
        <w:rPr>
          <w:rFonts w:cs="Book Antiqua" w:ascii="Book Antiqua" w:hAnsi="Book Antiqua"/>
        </w:rPr>
      </w:r>
    </w:p>
    <w:p>
      <w:pPr>
        <w:pStyle w:val="Closing"/>
        <w:spacing w:lineRule="auto" w:line="240"/>
        <w:ind w:start="810" w:end="-360"/>
        <w:rPr>
          <w:rFonts w:ascii="Book Antiqua" w:hAnsi="Book Antiqua" w:cs="Book Antiqua"/>
          <w:b/>
          <w:u w:val="single"/>
        </w:rPr>
      </w:pPr>
      <w:r>
        <w:rPr>
          <w:rFonts w:cs="Book Antiqua" w:ascii="Book Antiqua" w:hAnsi="Book Antiqua"/>
          <w:b/>
          <w:u w:val="single"/>
        </w:rPr>
        <w:t>Proposal B – Eliminate Minimums, Increase Heat Rate, with Rebate</w:t>
      </w:r>
    </w:p>
    <w:p>
      <w:pPr>
        <w:pStyle w:val="Closing"/>
        <w:numPr>
          <w:ilvl w:val="0"/>
          <w:numId w:val="5"/>
        </w:numPr>
        <w:tabs>
          <w:tab w:val="clear" w:pos="720"/>
          <w:tab w:val="left" w:pos="1170" w:leader="none"/>
        </w:tabs>
        <w:spacing w:lineRule="auto" w:line="240"/>
        <w:ind w:hanging="270" w:start="1080" w:end="-360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Monthly minimums are eliminated</w:t>
      </w:r>
    </w:p>
    <w:p>
      <w:pPr>
        <w:pStyle w:val="Closing"/>
        <w:numPr>
          <w:ilvl w:val="0"/>
          <w:numId w:val="2"/>
        </w:numPr>
        <w:tabs>
          <w:tab w:val="clear" w:pos="720"/>
          <w:tab w:val="left" w:pos="1170" w:leader="none"/>
        </w:tabs>
        <w:spacing w:lineRule="auto" w:line="240"/>
        <w:ind w:hanging="270" w:start="1080" w:end="-360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Heat rate increases to 15,250 Btu/Hphr at maximum load factor</w:t>
      </w:r>
    </w:p>
    <w:p>
      <w:pPr>
        <w:pStyle w:val="Closing"/>
        <w:numPr>
          <w:ilvl w:val="0"/>
          <w:numId w:val="2"/>
        </w:numPr>
        <w:tabs>
          <w:tab w:val="clear" w:pos="720"/>
          <w:tab w:val="left" w:pos="1170" w:leader="none"/>
        </w:tabs>
        <w:spacing w:lineRule="auto" w:line="240"/>
        <w:ind w:hanging="270" w:start="1080" w:end="-360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NNG pays ECS as if usage was maximum load factor</w:t>
      </w:r>
    </w:p>
    <w:p>
      <w:pPr>
        <w:pStyle w:val="Closing"/>
        <w:numPr>
          <w:ilvl w:val="0"/>
          <w:numId w:val="2"/>
        </w:numPr>
        <w:tabs>
          <w:tab w:val="clear" w:pos="720"/>
          <w:tab w:val="left" w:pos="1170" w:leader="none"/>
        </w:tabs>
        <w:spacing w:lineRule="auto" w:line="240"/>
        <w:ind w:hanging="360" w:start="1170" w:end="-360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ECS rebates difference between maximum and actual back to NNG annually at  $2.39/mmbtu</w:t>
      </w:r>
    </w:p>
    <w:p>
      <w:pPr>
        <w:pStyle w:val="Closing"/>
        <w:numPr>
          <w:ilvl w:val="0"/>
          <w:numId w:val="2"/>
        </w:numPr>
        <w:tabs>
          <w:tab w:val="clear" w:pos="720"/>
          <w:tab w:val="left" w:pos="1170" w:leader="none"/>
        </w:tabs>
        <w:spacing w:lineRule="auto" w:line="240"/>
        <w:ind w:hanging="270" w:start="1080" w:end="-360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NNG expected rebate is $1.1 MM per year</w:t>
      </w:r>
    </w:p>
    <w:p>
      <w:pPr>
        <w:pStyle w:val="Closing"/>
        <w:numPr>
          <w:ilvl w:val="0"/>
          <w:numId w:val="5"/>
        </w:numPr>
        <w:tabs>
          <w:tab w:val="clear" w:pos="720"/>
          <w:tab w:val="left" w:pos="1170" w:leader="none"/>
        </w:tabs>
        <w:spacing w:lineRule="auto" w:line="240"/>
        <w:ind w:hanging="270" w:start="1080" w:end="-360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ECS pays NNG contract termination fee of $4.3 MM</w:t>
      </w:r>
    </w:p>
    <w:p>
      <w:pPr>
        <w:pStyle w:val="Closing"/>
        <w:numPr>
          <w:ilvl w:val="0"/>
          <w:numId w:val="5"/>
        </w:numPr>
        <w:tabs>
          <w:tab w:val="clear" w:pos="720"/>
          <w:tab w:val="left" w:pos="1170" w:leader="none"/>
        </w:tabs>
        <w:spacing w:lineRule="auto" w:line="240"/>
        <w:ind w:hanging="270" w:start="1080" w:end="-360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Termination fee and rebate equal PV $13.3 MM</w:t>
      </w:r>
    </w:p>
    <w:p>
      <w:pPr>
        <w:pStyle w:val="Closing"/>
        <w:numPr>
          <w:ilvl w:val="0"/>
          <w:numId w:val="5"/>
        </w:numPr>
        <w:tabs>
          <w:tab w:val="clear" w:pos="720"/>
          <w:tab w:val="left" w:pos="1170" w:leader="none"/>
        </w:tabs>
        <w:spacing w:lineRule="auto" w:line="240"/>
        <w:ind w:hanging="270" w:start="1080" w:end="-360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Increased heat rate results in a PV premium of $14.3 MM</w:t>
      </w:r>
    </w:p>
    <w:p>
      <w:pPr>
        <w:pStyle w:val="Closing"/>
        <w:spacing w:lineRule="auto" w:line="240"/>
        <w:ind w:start="720" w:end="-360"/>
        <w:rPr>
          <w:rFonts w:ascii="Book Antiqua" w:hAnsi="Book Antiqua" w:cs="Book Antiqua"/>
        </w:rPr>
      </w:pPr>
      <w:r>
        <w:rPr>
          <w:rFonts w:cs="Book Antiqua" w:ascii="Book Antiqua" w:hAnsi="Book Antiqua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800" w:right="1800" w:gutter="0" w:header="965" w:top="1685" w:footer="1440" w:bottom="149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Impact">
    <w:altName w:val="Arial Narrow"/>
    <w:charset w:val="00" w:characterSet="windows-1252"/>
    <w:family w:val="swiss"/>
    <w:pitch w:val="variable"/>
  </w:font>
  <w:font w:name="Book Antiqu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420" w:after="0"/>
      <w:ind w:hanging="0" w:start="-1080" w:end="-1080"/>
      <w:rPr/>
    </w:pPr>
    <w:r>
      <w:rPr/>
      <w:tab/>
      <w:tab/>
    </w:r>
    <w:r>
      <w:rPr/>
      <w:fldChar w:fldCharType="begin"/>
    </w:r>
    <w:r>
      <w:rPr/>
      <w:instrText xml:space="preserve"> PAGE \* ARABIC </w:instrText>
    </w:r>
    <w:r>
      <w:rPr/>
      <w:fldChar w:fldCharType="separate"/>
    </w:r>
    <w:r>
      <w:rPr/>
      <w:t>0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420" w:after="0"/>
      <w:ind w:hanging="0" w:start="-1080" w:end="-1080"/>
      <w:rPr/>
    </w:pPr>
    <w:r>
      <mc:AlternateContent>
        <mc:Choice Requires="wps">
          <w:drawing>
            <wp:anchor behindDoc="1" distT="0" distB="0" distL="114935" distR="114300" simplePos="0" locked="0" layoutInCell="0" allowOverlap="1" relativeHeight="3">
              <wp:simplePos x="0" y="0"/>
              <wp:positionH relativeFrom="page">
                <wp:posOffset>457200</wp:posOffset>
              </wp:positionH>
              <wp:positionV relativeFrom="paragraph">
                <wp:posOffset>635</wp:posOffset>
              </wp:positionV>
              <wp:extent cx="3502025" cy="609600"/>
              <wp:effectExtent l="635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2080" cy="609480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dfdfdf" stroked="f" o:allowincell="f" style="position:absolute;margin-left:36pt;margin-top:0pt;width:275.7pt;height:47.95pt;mso-wrap-style:none;v-text-anchor:middle;mso-position-horizontal-relative:page">
              <v:fill o:detectmouseclick="t" type="solid" color2="#202020"/>
              <v:stroke color="#3465a4" joinstyle="round" endcap="flat"/>
              <w10:wrap type="none"/>
            </v:rect>
          </w:pict>
        </mc:Fallback>
      </mc:AlternateContent>
    </w:r>
    <w:r>
      <w:rPr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</w:r>
    <w:r>
      <w:rPr/>
      <w:fldChar w:fldCharType="begin"/>
    </w:r>
    <w:r>
      <w:rPr/>
      <w:instrText xml:space="preserve"> DATE \@"MMMM\ d', 'yyyy" </w:instrText>
    </w:r>
    <w:r>
      <w:rPr/>
      <w:fldChar w:fldCharType="separate"/>
    </w:r>
    <w:r>
      <w:rPr/>
      <w:t>September 28, 2025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ind w:hanging="0" w:start="840" w:end="-36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atLeast" w:line="200"/>
      <w:ind w:hanging="0" w:start="840" w:end="-360"/>
      <w:outlineLvl w:val="0"/>
    </w:pPr>
    <w:rPr>
      <w:rFonts w:ascii="Arial" w:hAnsi="Arial" w:cs="Arial"/>
      <w:b/>
      <w:spacing w:val="-10"/>
      <w:kern w:val="2"/>
      <w:sz w:val="22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atLeast" w:line="200"/>
      <w:ind w:hanging="0" w:start="840" w:end="-360"/>
      <w:outlineLvl w:val="1"/>
    </w:pPr>
    <w:rPr>
      <w:rFonts w:ascii="Arial" w:hAnsi="Arial" w:cs="Arial"/>
      <w:spacing w:val="-10"/>
      <w:kern w:val="2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atLeast" w:line="220" w:before="220" w:after="220"/>
      <w:ind w:hanging="0" w:start="840" w:end="-360"/>
      <w:outlineLvl w:val="2"/>
    </w:pPr>
    <w:rPr>
      <w:i/>
      <w:spacing w:val="-5"/>
      <w:kern w:val="2"/>
    </w:rPr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lineRule="atLeast" w:line="220"/>
      <w:ind w:hanging="0" w:start="840" w:end="-360"/>
      <w:outlineLvl w:val="3"/>
    </w:pPr>
    <w:rPr>
      <w:i/>
      <w:spacing w:val="-2"/>
      <w:kern w:val="2"/>
    </w:rPr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lineRule="atLeast" w:line="220"/>
      <w:ind w:hanging="0" w:start="1440" w:end="-360"/>
      <w:outlineLvl w:val="4"/>
    </w:pPr>
    <w:rPr>
      <w:i/>
      <w:spacing w:val="-2"/>
      <w:kern w:val="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MessageHeaderLabel">
    <w:name w:val="Message Header Label"/>
    <w:qFormat/>
    <w:rPr>
      <w:rFonts w:ascii="Arial" w:hAnsi="Arial" w:cs="Arial"/>
      <w:b/>
      <w:spacing w:val="-4"/>
      <w:position w:val="0"/>
      <w:sz w:val="18"/>
      <w:sz w:val="18"/>
      <w:vertAlign w:val="baseline"/>
    </w:rPr>
  </w:style>
  <w:style w:type="character" w:styleId="PageNumber">
    <w:name w:val="page number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ind w:hanging="0" w:start="840" w:end="-36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losing">
    <w:name w:val="Closing"/>
    <w:basedOn w:val="Normal"/>
    <w:qFormat/>
    <w:pPr>
      <w:spacing w:lineRule="atLeast" w:line="220"/>
      <w:ind w:hanging="0" w:start="840" w:end="-360"/>
    </w:pPr>
    <w:rPr/>
  </w:style>
  <w:style w:type="paragraph" w:styleId="CompanyName">
    <w:name w:val="Company Name"/>
    <w:basedOn w:val="Normal"/>
    <w:qFormat/>
    <w:pPr>
      <w:keepLines/>
      <w:spacing w:lineRule="atLeast" w:line="200"/>
      <w:ind w:hanging="0" w:start="840" w:end="-120"/>
    </w:pPr>
    <w:rPr>
      <w:sz w:val="16"/>
    </w:rPr>
  </w:style>
  <w:style w:type="paragraph" w:styleId="DocumentLabel">
    <w:name w:val="Document Label"/>
    <w:next w:val="Normal"/>
    <w:qFormat/>
    <w:pPr>
      <w:widowControl/>
      <w:bidi w:val="0"/>
      <w:spacing w:lineRule="atLeast" w:line="600" w:before="140" w:after="540"/>
      <w:ind w:hanging="0" w:start="840" w:end="0"/>
    </w:pPr>
    <w:rPr>
      <w:rFonts w:ascii="Times New Roman" w:hAnsi="Times New Roman" w:eastAsia="Times New Roman" w:cs="Times New Roman"/>
      <w:color w:val="auto"/>
      <w:spacing w:val="-38"/>
      <w:sz w:val="60"/>
      <w:szCs w:val="20"/>
      <w:lang w:val="en-US" w:eastAsia="zh-CN" w:bidi="hi-IN"/>
    </w:rPr>
  </w:style>
  <w:style w:type="paragraph" w:styleId="Enclosure">
    <w:name w:val="Enclosure"/>
    <w:basedOn w:val="BodyText"/>
    <w:next w:val="Normal"/>
    <w:qFormat/>
    <w:pPr>
      <w:keepLines/>
      <w:spacing w:before="220" w:after="220"/>
    </w:pPr>
    <w:rPr/>
  </w:style>
  <w:style w:type="paragraph" w:styleId="HeaderBase">
    <w:name w:val="Header Base"/>
    <w:basedOn w:val="Normal"/>
    <w:qFormat/>
    <w:pPr>
      <w:keepLines/>
      <w:tabs>
        <w:tab w:val="clear" w:pos="720"/>
        <w:tab w:val="left" w:pos="-1080" w:leader="none"/>
        <w:tab w:val="center" w:pos="4320" w:leader="none"/>
        <w:tab w:val="right" w:pos="9480" w:leader="none"/>
      </w:tabs>
      <w:ind w:hanging="0" w:start="-1080" w:end="-840"/>
    </w:pPr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spacing w:before="420" w:after="0"/>
      <w:ind w:hanging="0" w:start="-1080" w:end="-1080"/>
    </w:pPr>
    <w:rPr>
      <w:b/>
    </w:rPr>
  </w:style>
  <w:style w:type="paragraph" w:styleId="Header">
    <w:name w:val="header"/>
    <w:basedOn w:val="HeaderBase"/>
    <w:pPr>
      <w:ind w:hanging="0" w:start="-1080" w:end="-1080"/>
    </w:pPr>
    <w:rPr>
      <w:i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rFonts w:ascii="Arial" w:hAnsi="Arial" w:cs="Arial"/>
      <w:spacing w:val="-10"/>
      <w:kern w:val="2"/>
      <w:sz w:val="18"/>
    </w:rPr>
  </w:style>
  <w:style w:type="paragraph" w:styleId="MessageHeader">
    <w:name w:val="Message Header"/>
    <w:basedOn w:val="BodyText"/>
    <w:qFormat/>
    <w:pPr>
      <w:keepLines/>
      <w:spacing w:lineRule="atLeast" w:line="415" w:before="0" w:after="0"/>
      <w:ind w:hanging="720" w:start="1560" w:end="-360"/>
    </w:pPr>
    <w:rPr/>
  </w:style>
  <w:style w:type="paragraph" w:styleId="MessageHeaderFirst">
    <w:name w:val="Message Header First"/>
    <w:basedOn w:val="MessageHeader"/>
    <w:next w:val="MessageHeader"/>
    <w:qFormat/>
    <w:pPr/>
    <w:rPr/>
  </w:style>
  <w:style w:type="paragraph" w:styleId="MessageHeaderLast">
    <w:name w:val="Message Header Last"/>
    <w:basedOn w:val="MessageHeader"/>
    <w:next w:val="BodyText"/>
    <w:qFormat/>
    <w:pPr>
      <w:pBdr>
        <w:bottom w:val="single" w:sz="6" w:space="22" w:color="000000"/>
      </w:pBdr>
      <w:spacing w:before="0" w:after="400"/>
    </w:pPr>
    <w:rPr/>
  </w:style>
  <w:style w:type="paragraph" w:styleId="NormalIndent">
    <w:name w:val="Normal Indent"/>
    <w:basedOn w:val="Normal"/>
    <w:qFormat/>
    <w:pPr>
      <w:ind w:hanging="0" w:start="1440" w:end="-360"/>
    </w:pPr>
    <w:rPr/>
  </w:style>
  <w:style w:type="paragraph" w:styleId="ReturnAddress">
    <w:name w:val="Return Address"/>
    <w:basedOn w:val="Normal"/>
    <w:qFormat/>
    <w:pPr>
      <w:keepLines/>
      <w:spacing w:lineRule="atLeast" w:line="200"/>
      <w:ind w:hanging="0" w:start="0" w:end="-120"/>
    </w:pPr>
    <w:rPr>
      <w:sz w:val="16"/>
    </w:rPr>
  </w:style>
  <w:style w:type="paragraph" w:styleId="Signature">
    <w:name w:val="Signature"/>
    <w:basedOn w:val="BodyText"/>
    <w:pPr>
      <w:keepNext w:val="true"/>
      <w:keepLines/>
      <w:spacing w:before="660" w:after="0"/>
    </w:pPr>
    <w:rPr/>
  </w:style>
  <w:style w:type="paragraph" w:styleId="SignatureJobTitle">
    <w:name w:val="Signature Job Title"/>
    <w:basedOn w:val="Signature"/>
    <w:next w:val="Normal"/>
    <w:qFormat/>
    <w:pPr>
      <w:spacing w:before="0" w:after="0"/>
      <w:ind w:hanging="0" w:start="840" w:end="0"/>
    </w:pPr>
    <w:rPr/>
  </w:style>
  <w:style w:type="paragraph" w:styleId="SignatureName">
    <w:name w:val="Signature Name"/>
    <w:basedOn w:val="Signature"/>
    <w:next w:val="SignatureJobTitle"/>
    <w:qFormat/>
    <w:pPr>
      <w:spacing w:before="720" w:after="0"/>
    </w:pPr>
    <w:rPr/>
  </w:style>
  <w:style w:type="paragraph" w:styleId="Slogan">
    <w:name w:val="Slogan"/>
    <w:basedOn w:val="Normal"/>
    <w:qFormat/>
    <w:pPr>
      <w:ind w:hanging="0" w:start="0" w:end="0"/>
    </w:pPr>
    <w:rPr>
      <w:rFonts w:ascii="Impact;Arial Narrow" w:hAnsi="Impact;Arial Narrow" w:cs="Impact;Arial Narrow"/>
      <w:caps/>
      <w:color w:val="FFFFFF"/>
      <w:spacing w:val="20"/>
      <w:sz w:val="48"/>
      <w:vertAlign w:val="superscript"/>
    </w:rPr>
  </w:style>
  <w:style w:type="paragraph" w:styleId="FrameContents">
    <w:name w:val="Frame Contents"/>
    <w:basedOn w:val="Normal"/>
    <w:qFormat/>
    <w:pPr/>
    <w:rPr/>
  </w:style>
  <w:style w:type="paragraph" w:styleId="HeaderLeft">
    <w:name w:val="Header Left"/>
    <w:basedOn w:val="Header"/>
    <w:qFormat/>
    <w:pPr>
      <w:suppressLineNumbers/>
      <w:tabs>
        <w:tab w:val="clear" w:pos="-1080"/>
        <w:tab w:val="clear" w:pos="948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Contemporary Memo.dot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2000-02-02T18:44:00Z</dcterms:created>
  <dc:creator>NT</dc:creator>
  <dc:description/>
  <dc:language>en-CA</dc:language>
  <cp:lastModifiedBy>NT</cp:lastModifiedBy>
  <cp:lastPrinted>2000-02-02T15:43:00Z</cp:lastPrinted>
  <dcterms:modified xsi:type="dcterms:W3CDTF">2000-02-02T21:06:00Z</dcterms:modified>
  <cp:revision>7</cp:revision>
  <dc:subject/>
  <dc:title>Memo</dc:title>
</cp:coreProperties>
</file>