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RESPONSE TO LJM MEMO ON CUIABA PROJECT</w:t>
      </w:r>
    </w:p>
    <w:p>
      <w:pPr>
        <w:pStyle w:val="Normal"/>
        <w:rPr/>
      </w:pPr>
      <w:r>
        <w:rPr/>
        <w:t>DATED 9-15-00</w:t>
      </w:r>
    </w:p>
    <w:p>
      <w:pPr>
        <w:pStyle w:val="Normal"/>
        <w:rPr/>
      </w:pPr>
      <w:r>
        <w:rPr/>
      </w:r>
    </w:p>
    <w:p>
      <w:pPr>
        <w:pStyle w:val="Normal"/>
        <w:rPr/>
      </w:pPr>
      <w:r>
        <w:rPr/>
      </w:r>
    </w:p>
    <w:p>
      <w:pPr>
        <w:pStyle w:val="Normal"/>
        <w:rPr/>
      </w:pPr>
      <w:r>
        <w:rPr/>
        <w:t>Enron South America was not originally copied on the LJM memo.  Responses to the points raised in the memo follow, albeit with some time differences because of when the memo was written and when this response was prepared.</w:t>
      </w:r>
    </w:p>
    <w:p>
      <w:pPr>
        <w:pStyle w:val="Normal"/>
        <w:rPr/>
      </w:pPr>
      <w:r>
        <w:rPr/>
      </w:r>
    </w:p>
    <w:p>
      <w:pPr>
        <w:pStyle w:val="Normal"/>
        <w:numPr>
          <w:ilvl w:val="0"/>
          <w:numId w:val="0"/>
        </w:numPr>
        <w:outlineLvl w:val="0"/>
        <w:rPr/>
      </w:pPr>
      <w:r>
        <w:rPr/>
        <w:t>1.  Gas Supply Risk.  LJM memo asserts -long term gas supply  arrangements do not exist.  YPF Argentina wishes to fulfill its obligation to the Cuiaba project from gas in NW Argentina, where they have highest equity stake in the gas fieds.   The reason that the Bolivian regulator only gave YPF  a one year transit permit for the Argentine gas across Bolivia is because Argentina is not allowing Bolivian gas to be exported into Argentina. For YPF, the Cuiaba gas contract is significantly in the money and Enron would stand to profit greatly if long term gas supply arrangements with YPF were not consumated and the Enron guarantee came into play,  ($.30-.40 per MMBTU profit, on 80 mmcf/d, for 20 years, available from several producers, proven reserves 3-4 times max obligations to Brazil for 20 years ).   .YPF has received a 20 year export permit   for its Bolivian subsidiary, Maxus,  Maxus has more than sufficient reserves in Bolivia  to meet YPF’s obligations to Cuiaba   This is YPF’s means of insuring the long term supply to Cuiaba which satisfies lenders.  This is probably still an opportunity for Enron in the future should it desire to terminate the YPF contract and  retain the gas supply risk for the margins involved.</w:t>
      </w:r>
    </w:p>
    <w:p>
      <w:pPr>
        <w:pStyle w:val="Normal"/>
        <w:numPr>
          <w:ilvl w:val="0"/>
          <w:numId w:val="0"/>
        </w:numPr>
        <w:outlineLvl w:val="0"/>
        <w:rPr/>
      </w:pPr>
      <w:r>
        <w:rPr/>
      </w:r>
    </w:p>
    <w:p>
      <w:pPr>
        <w:pStyle w:val="Normal"/>
        <w:numPr>
          <w:ilvl w:val="0"/>
          <w:numId w:val="0"/>
        </w:numPr>
        <w:outlineLvl w:val="0"/>
        <w:rPr/>
      </w:pPr>
      <w:r>
        <w:rPr/>
        <w:t>2.  Technology risk -gas turbine ceramic tile failure.   Siemens has guaranteed the performance of the turbines backed by a $180 million guarantee which is not weakened by the increased usage of diesel fuel oil during the first two years of operations.  This turbine technology  risk and the Siemens guarantee were accepted by non-recourse project lenders in the financing documents that have already been closed.</w:t>
      </w:r>
    </w:p>
    <w:p>
      <w:pPr>
        <w:pStyle w:val="Normal"/>
        <w:numPr>
          <w:ilvl w:val="0"/>
          <w:numId w:val="0"/>
        </w:numPr>
        <w:outlineLvl w:val="0"/>
        <w:rPr/>
      </w:pPr>
      <w:r>
        <w:rPr/>
      </w:r>
    </w:p>
    <w:p>
      <w:pPr>
        <w:pStyle w:val="Normal"/>
        <w:numPr>
          <w:ilvl w:val="0"/>
          <w:numId w:val="0"/>
        </w:numPr>
        <w:outlineLvl w:val="0"/>
        <w:rPr/>
      </w:pPr>
      <w:r>
        <w:rPr/>
        <w:t>3.  Lenders consents from power purchasers..  This is the last remaining issue on the project, with Eletrobras and its subsidiary Furnas.   The issues are not commercial, rather deal with lenders step  in rights in the event of default of the power producer.  Although delayed by bureaucratic resistance in a time of uncertainty due to deregulation there is no contractual basis for objection from Eletrobras on what we and the lenders are asking for as it has already been agreed in the power purchase agreement.  Not agreeing to this would put the power purchaser in default on a critical element of their supply (timing, pricing, location) in a power short market.  The project team is focused on resolving this issue at the Eletrobras and Furnas CEO  level and hope to close this issue quickly, which would allow for the disbursement of financing.  In the event Eletrobras fails to comply with its obligations, a non-contracted version of this project yields much better economics than the current contracted version of the plant, because of the high short-mid term market price for power in Brazil,lower gas costs resulting from termination of the YPF gas contract  and the project being completed into a time of power shortages.</w:t>
      </w:r>
    </w:p>
    <w:p>
      <w:pPr>
        <w:pStyle w:val="Normal"/>
        <w:numPr>
          <w:ilvl w:val="0"/>
          <w:numId w:val="0"/>
        </w:numPr>
        <w:outlineLvl w:val="0"/>
        <w:rPr/>
      </w:pPr>
      <w:r>
        <w:rPr/>
      </w:r>
    </w:p>
    <w:p>
      <w:pPr>
        <w:pStyle w:val="Normal"/>
        <w:rPr/>
      </w:pPr>
      <w:r>
        <w:rPr/>
        <w:t xml:space="preserve">4.  Cost overruns.  $56 million of the $148 million overrun quoted in the memo, for delayed start penalties to power purchaser, do not exist  The cost overrun risk is not borne by LJM as their return comes before repayment of the cost overrun loans. These penalties will not be payable to the power purchaser, but were required as contingent support by the lenders, even though the late arrival of the pipeline is clearly protected by force majeure language in the contract.   The remaining cost overruns (about 15% of project costs, largely caused by environmental NGO opposition to the project, and which include a significant slice of regional operating costs over two years)  have indeed deteriorated the returns on the project, but the Cuiaba I integrated project return  is still about 14% Because the pipeline is fully paid for by Cuiaba I, market based power pricing for Cuiaba II creates an opportunity to earn an approximately 20% return on the Cuiaba I and II integrated projects (assuming holding the equity, Enron return increases when we sell down the equity).  Cuiaba II is currently approved by the Brazilian government and being actively developed and contracted for immediate implementation.  Enron also owns the remaining capacity in the pipeline which is sufficient to supply an eventual Cuiaba III, when demand growth justifies </w:t>
      </w:r>
    </w:p>
    <w:p>
      <w:pPr>
        <w:pStyle w:val="Normal"/>
        <w:rPr/>
      </w:pPr>
      <w:r>
        <w:rPr/>
        <w:t>it, probably 5-7 years down the road.  Approximately  $100 million of mark to market IBIThas been booked from the Cuiaba project in the last year and a half.</w:t>
      </w:r>
    </w:p>
    <w:p>
      <w:pPr>
        <w:pStyle w:val="Normal"/>
        <w:rPr/>
      </w:pPr>
      <w:r>
        <w:rPr/>
      </w:r>
    </w:p>
    <w:p>
      <w:pPr>
        <w:pStyle w:val="Normal"/>
        <w:rPr/>
      </w:pPr>
      <w:r>
        <w:rPr/>
        <w:t>5.  Selldown.  Process was advanced through bidding (received 3 bids for the equity in the project, from Shell, El Paso and Perez Compac) but was halted in the first quarter of 2000 because of  Project California then Project Summer.  Current plan is to sell down to minimum 25% hold on or about second quarter of 2001, when construction is complete, to avoid selldown approval rights of power purchaser.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2000-11-13T15:52:00Z</dcterms:created>
  <dc:creator>ENRON</dc:creator>
  <dc:description/>
  <dc:language>en-CA</dc:language>
  <cp:lastModifiedBy>ENRON</cp:lastModifiedBy>
  <dcterms:modified xsi:type="dcterms:W3CDTF">2000-11-13T15:56:00Z</dcterms:modified>
  <cp:revision>3</cp:revision>
  <dc:subject/>
  <dc:title>RESPONSE TO LJM MEMO ON CUIABA PROJECT</dc:title>
</cp:coreProperties>
</file>