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jc w:val="center"/>
        <w:rPr>
          <w:rFonts w:ascii="Arial" w:hAnsi="Arial" w:cs="Arial"/>
          <w:b/>
          <w:smallCaps/>
          <w:sz w:val="36"/>
        </w:rPr>
      </w:pPr>
      <w:r>
        <w:rPr>
          <w:rFonts w:cs="Arial" w:ascii="Arial" w:hAnsi="Arial"/>
          <w:b/>
          <w:smallCaps/>
          <w:sz w:val="36"/>
        </w:rPr>
        <w:t>Mariner Energy LLC</w:t>
      </w:r>
    </w:p>
    <w:p>
      <w:pPr>
        <w:pStyle w:val="PlainText"/>
        <w:rPr>
          <w:rFonts w:ascii="Arial" w:hAnsi="Arial" w:cs="Arial"/>
          <w:b/>
          <w:smallCaps/>
          <w:sz w:val="22"/>
        </w:rPr>
      </w:pPr>
      <w:r>
        <w:rPr>
          <w:rFonts w:cs="Arial" w:ascii="Arial" w:hAnsi="Arial"/>
          <w:b/>
          <w:smallCaps/>
          <w:sz w:val="22"/>
        </w:rPr>
      </w:r>
    </w:p>
    <w:p>
      <w:pPr>
        <w:pStyle w:val="PlainText"/>
        <w:jc w:val="center"/>
        <w:rPr>
          <w:rFonts w:ascii="Arial" w:hAnsi="Arial" w:cs="Arial"/>
          <w:b/>
          <w:sz w:val="22"/>
        </w:rPr>
      </w:pPr>
      <w:r>
        <w:rPr>
          <w:rFonts w:cs="Arial" w:ascii="Arial" w:hAnsi="Arial"/>
          <w:b/>
          <w:sz w:val="22"/>
        </w:rPr>
        <w:t>ACCOUNTING RESERVES AND ESTIMATES</w:t>
      </w:r>
    </w:p>
    <w:p>
      <w:pPr>
        <w:pStyle w:val="PlainText"/>
        <w:rPr>
          <w:rFonts w:ascii="Arial" w:hAnsi="Arial" w:cs="Arial"/>
          <w:b/>
          <w:sz w:val="22"/>
        </w:rPr>
      </w:pPr>
      <w:r>
        <w:rPr>
          <w:rFonts w:cs="Arial" w:ascii="Arial" w:hAnsi="Arial"/>
          <w:b/>
          <w:sz w:val="22"/>
        </w:rPr>
      </w:r>
    </w:p>
    <w:p>
      <w:pPr>
        <w:pStyle w:val="PlainText"/>
        <w:jc w:val="center"/>
        <w:rPr>
          <w:rFonts w:ascii="Arial" w:hAnsi="Arial" w:cs="Arial"/>
          <w:sz w:val="22"/>
        </w:rPr>
      </w:pPr>
      <w:r>
        <w:rPr>
          <w:rFonts w:cs="Arial" w:ascii="Arial" w:hAnsi="Arial"/>
          <w:sz w:val="22"/>
        </w:rPr>
        <w:t>AS OF SEPTEMBER 30, 2001</w:t>
      </w:r>
    </w:p>
    <w:p>
      <w:pPr>
        <w:pStyle w:val="PlainText"/>
        <w:rPr>
          <w:rFonts w:ascii="Arial" w:hAnsi="Arial" w:cs="Arial"/>
          <w:sz w:val="22"/>
        </w:rPr>
      </w:pPr>
      <w:r>
        <w:rPr>
          <w:rFonts w:cs="Arial" w:ascii="Arial" w:hAnsi="Arial"/>
          <w:sz w:val="22"/>
        </w:rPr>
      </w:r>
    </w:p>
    <w:p>
      <w:pPr>
        <w:pStyle w:val="PlainText"/>
        <w:jc w:val="center"/>
        <w:rPr>
          <w:rFonts w:ascii="Arial" w:hAnsi="Arial" w:cs="Arial"/>
          <w:sz w:val="22"/>
        </w:rPr>
      </w:pPr>
      <w:r>
        <w:rPr>
          <w:rFonts w:cs="Arial" w:ascii="Arial" w:hAnsi="Arial"/>
          <w:sz w:val="22"/>
        </w:rPr>
        <w:t>(Amounts are stated in thousands of dollars)</w:t>
      </w:r>
    </w:p>
    <w:p>
      <w:pPr>
        <w:pStyle w:val="PlainText"/>
        <w:rPr>
          <w:rFonts w:ascii="Arial" w:hAnsi="Arial" w:cs="Arial"/>
          <w:sz w:val="22"/>
        </w:rPr>
      </w:pPr>
      <w:r>
        <w:rPr>
          <w:rFonts w:cs="Arial" w:ascii="Arial" w:hAnsi="Arial"/>
          <w:sz w:val="22"/>
        </w:rPr>
      </w:r>
    </w:p>
    <w:p>
      <w:pPr>
        <w:pStyle w:val="PlainText"/>
        <w:rPr>
          <w:rFonts w:ascii="Arial" w:hAnsi="Arial" w:cs="Arial"/>
          <w:sz w:val="22"/>
        </w:rPr>
      </w:pPr>
      <w:r>
        <w:rPr>
          <w:rFonts w:cs="Arial" w:ascii="Arial" w:hAnsi="Arial"/>
          <w:sz w:val="22"/>
        </w:rPr>
      </w:r>
    </w:p>
    <w:p>
      <w:pPr>
        <w:pStyle w:val="PlainText"/>
        <w:jc w:val="center"/>
        <w:rPr>
          <w:rFonts w:ascii="Arial" w:hAnsi="Arial" w:cs="Arial"/>
          <w:b/>
          <w:sz w:val="28"/>
        </w:rPr>
      </w:pPr>
      <w:r>
        <w:rPr>
          <w:rFonts w:cs="Arial" w:ascii="Arial" w:hAnsi="Arial"/>
          <w:b/>
          <w:sz w:val="28"/>
        </w:rPr>
        <w:t>CONFIDENTIAL</w:t>
      </w:r>
    </w:p>
    <w:p>
      <w:pPr>
        <w:pStyle w:val="PlainText"/>
        <w:rPr>
          <w:rFonts w:ascii="Arial" w:hAnsi="Arial" w:cs="Arial"/>
          <w:sz w:val="22"/>
        </w:rPr>
      </w:pPr>
      <w:r>
        <w:rPr>
          <w:rFonts w:cs="Arial" w:ascii="Arial" w:hAnsi="Arial"/>
          <w:sz w:val="22"/>
        </w:rPr>
        <w:tab/>
        <w:tab/>
        <w:tab/>
        <w:tab/>
        <w:tab/>
      </w:r>
    </w:p>
    <w:p>
      <w:pPr>
        <w:pStyle w:val="PlainText"/>
        <w:pBdr>
          <w:top w:val="single" w:sz="4" w:space="1" w:color="000000"/>
          <w:left w:val="single" w:sz="4" w:space="4" w:color="000000"/>
          <w:bottom w:val="single" w:sz="4" w:space="1" w:color="000000"/>
          <w:right w:val="single" w:sz="4" w:space="4" w:color="000000"/>
        </w:pBdr>
        <w:ind w:start="1728" w:end="2016"/>
        <w:jc w:val="both"/>
        <w:rPr>
          <w:rFonts w:ascii="Arial" w:hAnsi="Arial" w:cs="Arial"/>
          <w:sz w:val="16"/>
        </w:rPr>
      </w:pPr>
      <w:r>
        <w:rPr>
          <w:rFonts w:cs="Arial" w:ascii="Arial" w:hAnsi="Arial"/>
          <w:sz w:val="16"/>
        </w:rPr>
      </w:r>
    </w:p>
    <w:p>
      <w:pPr>
        <w:pStyle w:val="PlainText"/>
        <w:pBdr>
          <w:top w:val="single" w:sz="4" w:space="1" w:color="000000"/>
          <w:left w:val="single" w:sz="4" w:space="4" w:color="000000"/>
          <w:bottom w:val="single" w:sz="4" w:space="1" w:color="000000"/>
          <w:right w:val="single" w:sz="4" w:space="4" w:color="000000"/>
        </w:pBdr>
        <w:ind w:start="1728" w:end="2016"/>
        <w:jc w:val="both"/>
        <w:rPr>
          <w:rFonts w:ascii="Arial" w:hAnsi="Arial" w:cs="Arial"/>
          <w:sz w:val="16"/>
        </w:rPr>
      </w:pPr>
      <w:r>
        <w:rPr>
          <w:rFonts w:cs="Arial" w:ascii="Arial" w:hAnsi="Arial"/>
          <w:sz w:val="16"/>
        </w:rPr>
      </w:r>
    </w:p>
    <w:p>
      <w:pPr>
        <w:pStyle w:val="PlainText"/>
        <w:pBdr>
          <w:top w:val="single" w:sz="4" w:space="1" w:color="000000"/>
          <w:left w:val="single" w:sz="4" w:space="4" w:color="000000"/>
          <w:bottom w:val="single" w:sz="4" w:space="1" w:color="000000"/>
          <w:right w:val="single" w:sz="4" w:space="4" w:color="000000"/>
        </w:pBdr>
        <w:ind w:start="1728" w:end="2016"/>
        <w:jc w:val="both"/>
        <w:rPr/>
      </w:pPr>
      <w:r>
        <w:rPr>
          <w:rFonts w:cs="Arial" w:ascii="Arial" w:hAnsi="Arial"/>
          <w:sz w:val="16"/>
        </w:rPr>
        <w:t>Notice:  The information contained in this report has been prepared solely for management's discussion and review of certain issues.  Nothing contained in this report by inclusion herein alone should be construed to imply that a loss has been or will be incurred or that any asset described herein is or will become impaired.  All such determinations and/or necessary accounting or public disclosures will be based on GAAP and consistent with SEC rules and regulations</w:t>
      </w:r>
      <w:r>
        <w:rPr>
          <w:rFonts w:cs="Arial" w:ascii="Arial" w:hAnsi="Arial"/>
          <w:sz w:val="18"/>
        </w:rPr>
        <w:t>.</w:t>
      </w:r>
    </w:p>
    <w:p>
      <w:pPr>
        <w:pStyle w:val="PlainText"/>
        <w:pBdr>
          <w:top w:val="single" w:sz="4" w:space="1" w:color="000000"/>
          <w:left w:val="single" w:sz="4" w:space="4" w:color="000000"/>
          <w:bottom w:val="single" w:sz="4" w:space="1" w:color="000000"/>
          <w:right w:val="single" w:sz="4" w:space="4" w:color="000000"/>
        </w:pBdr>
        <w:ind w:start="1728" w:end="2016"/>
        <w:jc w:val="both"/>
        <w:rPr>
          <w:rFonts w:ascii="Arial" w:hAnsi="Arial" w:cs="Arial"/>
          <w:sz w:val="18"/>
        </w:rPr>
      </w:pPr>
      <w:r>
        <w:rPr>
          <w:rFonts w:cs="Arial" w:ascii="Arial" w:hAnsi="Arial"/>
          <w:sz w:val="18"/>
        </w:rPr>
      </w:r>
    </w:p>
    <w:p>
      <w:pPr>
        <w:pStyle w:val="PlainText"/>
        <w:pBdr>
          <w:top w:val="single" w:sz="4" w:space="1" w:color="000000"/>
          <w:left w:val="single" w:sz="4" w:space="4" w:color="000000"/>
          <w:bottom w:val="single" w:sz="4" w:space="1" w:color="000000"/>
          <w:right w:val="single" w:sz="4" w:space="4" w:color="000000"/>
        </w:pBdr>
        <w:ind w:start="1728" w:end="2016"/>
        <w:jc w:val="both"/>
        <w:rPr>
          <w:rFonts w:ascii="Arial" w:hAnsi="Arial" w:cs="Arial"/>
          <w:sz w:val="18"/>
        </w:rPr>
      </w:pPr>
      <w:r>
        <w:rPr>
          <w:rFonts w:cs="Arial" w:ascii="Arial" w:hAnsi="Arial"/>
          <w:sz w:val="18"/>
        </w:rPr>
        <w:tab/>
        <w:tab/>
        <w:tab/>
      </w:r>
    </w:p>
    <w:p>
      <w:pPr>
        <w:pStyle w:val="PlainText"/>
        <w:rPr>
          <w:rFonts w:ascii="Arial" w:hAnsi="Arial" w:cs="Arial"/>
          <w:sz w:val="22"/>
        </w:rPr>
      </w:pPr>
      <w:r>
        <w:rPr>
          <w:rFonts w:cs="Arial" w:ascii="Arial" w:hAnsi="Arial"/>
          <w:sz w:val="22"/>
        </w:rPr>
        <w:tab/>
        <w:tab/>
        <w:tab/>
      </w:r>
    </w:p>
    <w:p>
      <w:pPr>
        <w:pStyle w:val="PlainText"/>
        <w:rPr>
          <w:rFonts w:ascii="Arial" w:hAnsi="Arial" w:cs="Arial"/>
          <w:sz w:val="22"/>
        </w:rPr>
      </w:pPr>
      <w:r>
        <w:rPr>
          <w:rFonts w:cs="Arial" w:ascii="Arial" w:hAnsi="Arial"/>
          <w:sz w:val="22"/>
        </w:rPr>
      </w:r>
    </w:p>
    <w:p>
      <w:pPr>
        <w:pStyle w:val="PlainText"/>
        <w:ind w:end="-118"/>
        <w:rPr/>
      </w:pPr>
      <w:r>
        <w:rPr>
          <w:rFonts w:cs="Arial" w:ascii="Arial" w:hAnsi="Arial"/>
          <w:sz w:val="22"/>
        </w:rPr>
        <w:t>N/D = Not determinable at this time</w:t>
        <w:tab/>
        <w:tab/>
        <w:t>N/A = Not applicable</w:t>
        <w:tab/>
        <w:tab/>
        <w:t>++ = Potential positive outcome</w:t>
        <w:tab/>
      </w:r>
      <w:r>
        <w:rPr/>
        <w:tab/>
        <w:tab/>
        <w:tab/>
        <w:tab/>
      </w:r>
    </w:p>
    <w:tbl>
      <w:tblPr>
        <w:tblW w:w="10152" w:type="dxa"/>
        <w:jc w:val="center"/>
        <w:tblInd w:w="0" w:type="dxa"/>
        <w:tblLayout w:type="fixed"/>
        <w:tblCellMar>
          <w:top w:w="0" w:type="dxa"/>
          <w:start w:w="108" w:type="dxa"/>
          <w:bottom w:w="0" w:type="dxa"/>
          <w:end w:w="108" w:type="dxa"/>
        </w:tblCellMar>
      </w:tblPr>
      <w:tblGrid>
        <w:gridCol w:w="2628"/>
        <w:gridCol w:w="1586"/>
        <w:gridCol w:w="1284"/>
        <w:gridCol w:w="4654"/>
      </w:tblGrid>
      <w:tr>
        <w:trPr>
          <w:tblHeader w:val="true"/>
        </w:trPr>
        <w:tc>
          <w:tcPr>
            <w:tcW w:w="2628" w:type="dxa"/>
            <w:tcBorders>
              <w:top w:val="single" w:sz="12" w:space="0" w:color="000000"/>
              <w:bottom w:val="single" w:sz="12" w:space="0" w:color="000000"/>
            </w:tcBorders>
          </w:tcPr>
          <w:p>
            <w:pPr>
              <w:pStyle w:val="PlainText"/>
              <w:snapToGrid w:val="false"/>
              <w:jc w:val="center"/>
              <w:rPr>
                <w:rFonts w:ascii="Arial" w:hAnsi="Arial" w:cs="Arial"/>
                <w:b/>
                <w:color w:val="000080"/>
              </w:rPr>
            </w:pPr>
            <w:r>
              <w:rPr>
                <w:rFonts w:cs="Arial" w:ascii="Arial" w:hAnsi="Arial"/>
                <w:b/>
                <w:color w:val="000080"/>
              </w:rPr>
            </w:r>
          </w:p>
          <w:p>
            <w:pPr>
              <w:pStyle w:val="PlainText"/>
              <w:jc w:val="center"/>
              <w:rPr>
                <w:rFonts w:ascii="Arial" w:hAnsi="Arial" w:cs="Arial"/>
                <w:b/>
                <w:color w:val="000080"/>
              </w:rPr>
            </w:pPr>
            <w:r>
              <w:rPr>
                <w:rFonts w:cs="Arial" w:ascii="Arial" w:hAnsi="Arial"/>
                <w:b/>
                <w:color w:val="000080"/>
              </w:rPr>
            </w:r>
          </w:p>
          <w:p>
            <w:pPr>
              <w:pStyle w:val="PlainText"/>
              <w:jc w:val="center"/>
              <w:rPr>
                <w:rFonts w:ascii="Arial" w:hAnsi="Arial" w:cs="Arial"/>
                <w:b/>
                <w:color w:val="000080"/>
              </w:rPr>
            </w:pPr>
            <w:r>
              <w:rPr>
                <w:rFonts w:cs="Arial" w:ascii="Arial" w:hAnsi="Arial"/>
                <w:b/>
                <w:color w:val="000080"/>
              </w:rPr>
              <w:t>Issue</w:t>
            </w:r>
          </w:p>
        </w:tc>
        <w:tc>
          <w:tcPr>
            <w:tcW w:w="1586" w:type="dxa"/>
            <w:tcBorders>
              <w:top w:val="single" w:sz="12" w:space="0" w:color="000000"/>
              <w:bottom w:val="single" w:sz="12" w:space="0" w:color="000000"/>
            </w:tcBorders>
          </w:tcPr>
          <w:p>
            <w:pPr>
              <w:pStyle w:val="PlainText"/>
              <w:jc w:val="center"/>
              <w:rPr>
                <w:rFonts w:ascii="Arial" w:hAnsi="Arial" w:cs="Arial"/>
                <w:b/>
                <w:color w:val="000080"/>
              </w:rPr>
            </w:pPr>
            <w:r>
              <w:rPr>
                <w:rFonts w:cs="Arial" w:ascii="Arial" w:hAnsi="Arial"/>
                <w:b/>
                <w:color w:val="000080"/>
              </w:rPr>
              <w:t xml:space="preserve">Potential </w:t>
            </w:r>
          </w:p>
          <w:p>
            <w:pPr>
              <w:pStyle w:val="PlainText"/>
              <w:jc w:val="center"/>
              <w:rPr>
                <w:rFonts w:ascii="Arial" w:hAnsi="Arial" w:cs="Arial"/>
                <w:b/>
                <w:color w:val="000080"/>
              </w:rPr>
            </w:pPr>
            <w:r>
              <w:rPr>
                <w:rFonts w:cs="Arial" w:ascii="Arial" w:hAnsi="Arial"/>
                <w:b/>
                <w:color w:val="000080"/>
              </w:rPr>
              <w:t>Exposure</w:t>
            </w:r>
          </w:p>
          <w:p>
            <w:pPr>
              <w:pStyle w:val="PlainText"/>
              <w:jc w:val="center"/>
              <w:rPr>
                <w:rFonts w:ascii="Arial" w:hAnsi="Arial" w:cs="Arial"/>
                <w:b/>
                <w:color w:val="000080"/>
              </w:rPr>
            </w:pPr>
            <w:r>
              <w:rPr>
                <w:rFonts w:eastAsia="Arial" w:cs="Arial" w:ascii="Arial" w:hAnsi="Arial"/>
                <w:b/>
                <w:color w:val="000080"/>
              </w:rPr>
              <w:t xml:space="preserve"> </w:t>
            </w:r>
            <w:r>
              <w:rPr>
                <w:rFonts w:cs="Arial" w:ascii="Arial" w:hAnsi="Arial"/>
                <w:b/>
                <w:color w:val="000080"/>
              </w:rPr>
              <w:t>Range</w:t>
            </w:r>
          </w:p>
        </w:tc>
        <w:tc>
          <w:tcPr>
            <w:tcW w:w="1284" w:type="dxa"/>
            <w:tcBorders>
              <w:top w:val="single" w:sz="12" w:space="0" w:color="000000"/>
              <w:bottom w:val="single" w:sz="12" w:space="0" w:color="000000"/>
            </w:tcBorders>
          </w:tcPr>
          <w:p>
            <w:pPr>
              <w:pStyle w:val="PlainText"/>
              <w:snapToGrid w:val="false"/>
              <w:jc w:val="center"/>
              <w:rPr>
                <w:rFonts w:ascii="Arial" w:hAnsi="Arial" w:cs="Arial"/>
                <w:b/>
                <w:color w:val="000080"/>
              </w:rPr>
            </w:pPr>
            <w:r>
              <w:rPr>
                <w:rFonts w:cs="Arial" w:ascii="Arial" w:hAnsi="Arial"/>
                <w:b/>
                <w:color w:val="000080"/>
              </w:rPr>
            </w:r>
          </w:p>
          <w:p>
            <w:pPr>
              <w:pStyle w:val="PlainText"/>
              <w:jc w:val="center"/>
              <w:rPr>
                <w:rFonts w:ascii="Arial" w:hAnsi="Arial" w:cs="Arial"/>
                <w:b/>
                <w:color w:val="000080"/>
              </w:rPr>
            </w:pPr>
            <w:r>
              <w:rPr>
                <w:rFonts w:cs="Arial" w:ascii="Arial" w:hAnsi="Arial"/>
                <w:b/>
                <w:color w:val="000080"/>
              </w:rPr>
              <w:t xml:space="preserve">Reserved </w:t>
            </w:r>
          </w:p>
          <w:p>
            <w:pPr>
              <w:pStyle w:val="PlainText"/>
              <w:jc w:val="center"/>
              <w:rPr>
                <w:rFonts w:ascii="Arial" w:hAnsi="Arial" w:cs="Arial"/>
                <w:b/>
                <w:color w:val="000080"/>
              </w:rPr>
            </w:pPr>
            <w:r>
              <w:rPr>
                <w:rFonts w:cs="Arial" w:ascii="Arial" w:hAnsi="Arial"/>
                <w:b/>
                <w:color w:val="000080"/>
              </w:rPr>
              <w:t>Amount</w:t>
            </w:r>
          </w:p>
        </w:tc>
        <w:tc>
          <w:tcPr>
            <w:tcW w:w="4654" w:type="dxa"/>
            <w:tcBorders>
              <w:top w:val="single" w:sz="12" w:space="0" w:color="000000"/>
              <w:bottom w:val="single" w:sz="12" w:space="0" w:color="000000"/>
            </w:tcBorders>
          </w:tcPr>
          <w:p>
            <w:pPr>
              <w:pStyle w:val="PlainText"/>
              <w:snapToGrid w:val="false"/>
              <w:rPr>
                <w:rFonts w:ascii="Arial" w:hAnsi="Arial" w:cs="Arial"/>
                <w:b/>
                <w:color w:val="000080"/>
              </w:rPr>
            </w:pPr>
            <w:r>
              <w:rPr>
                <w:rFonts w:cs="Arial" w:ascii="Arial" w:hAnsi="Arial"/>
                <w:b/>
                <w:color w:val="000080"/>
              </w:rPr>
            </w:r>
          </w:p>
          <w:p>
            <w:pPr>
              <w:pStyle w:val="PlainText"/>
              <w:rPr>
                <w:rFonts w:ascii="Arial" w:hAnsi="Arial" w:cs="Arial"/>
                <w:b/>
                <w:color w:val="000080"/>
              </w:rPr>
            </w:pPr>
            <w:r>
              <w:rPr>
                <w:rFonts w:cs="Arial" w:ascii="Arial" w:hAnsi="Arial"/>
                <w:b/>
                <w:color w:val="000080"/>
              </w:rPr>
            </w:r>
          </w:p>
          <w:p>
            <w:pPr>
              <w:pStyle w:val="PlainText"/>
              <w:jc w:val="center"/>
              <w:rPr>
                <w:rFonts w:ascii="Arial" w:hAnsi="Arial" w:cs="Arial"/>
                <w:b/>
                <w:color w:val="000080"/>
              </w:rPr>
            </w:pPr>
            <w:r>
              <w:rPr>
                <w:rFonts w:cs="Arial" w:ascii="Arial" w:hAnsi="Arial"/>
                <w:b/>
                <w:color w:val="000080"/>
              </w:rPr>
              <w:t>Comment</w:t>
            </w:r>
          </w:p>
        </w:tc>
      </w:tr>
      <w:tr>
        <w:trPr/>
        <w:tc>
          <w:tcPr>
            <w:tcW w:w="2628" w:type="dxa"/>
            <w:tcBorders>
              <w:bottom w:val="single" w:sz="6" w:space="0" w:color="000000"/>
            </w:tcBorders>
          </w:tcPr>
          <w:p>
            <w:pPr>
              <w:pStyle w:val="PlainText"/>
              <w:snapToGrid w:val="false"/>
              <w:rPr>
                <w:rFonts w:ascii="Arial" w:hAnsi="Arial" w:cs="Arial"/>
                <w:b/>
                <w:color w:val="000080"/>
              </w:rPr>
            </w:pPr>
            <w:r>
              <w:rPr>
                <w:rFonts w:cs="Arial" w:ascii="Arial" w:hAnsi="Arial"/>
                <w:b/>
                <w:color w:val="000080"/>
              </w:rPr>
            </w:r>
          </w:p>
          <w:p>
            <w:pPr>
              <w:pStyle w:val="PlainText"/>
              <w:rPr>
                <w:rFonts w:ascii="Arial" w:hAnsi="Arial" w:cs="Arial"/>
              </w:rPr>
            </w:pPr>
            <w:r>
              <w:rPr>
                <w:rFonts w:cs="Arial" w:ascii="Arial" w:hAnsi="Arial"/>
              </w:rPr>
              <w:t>Tri-Union Bankruptcy</w:t>
            </w:r>
          </w:p>
        </w:tc>
        <w:tc>
          <w:tcPr>
            <w:tcW w:w="1586" w:type="dxa"/>
            <w:tcBorders>
              <w:bottom w:val="single" w:sz="6" w:space="0" w:color="000000"/>
            </w:tcBorders>
          </w:tcPr>
          <w:p>
            <w:pPr>
              <w:pStyle w:val="PlainText"/>
              <w:snapToGrid w:val="false"/>
              <w:jc w:val="center"/>
              <w:rPr>
                <w:rFonts w:ascii="Arial" w:hAnsi="Arial" w:cs="Arial"/>
              </w:rPr>
            </w:pPr>
            <w:r>
              <w:rPr>
                <w:rFonts w:cs="Arial" w:ascii="Arial" w:hAnsi="Arial"/>
              </w:rPr>
            </w:r>
          </w:p>
          <w:p>
            <w:pPr>
              <w:pStyle w:val="PlainText"/>
              <w:jc w:val="center"/>
              <w:rPr>
                <w:rFonts w:ascii="Arial" w:hAnsi="Arial" w:cs="Arial"/>
              </w:rPr>
            </w:pPr>
            <w:r>
              <w:rPr>
                <w:rFonts w:cs="Arial" w:ascii="Arial" w:hAnsi="Arial"/>
              </w:rPr>
              <w:t>$0</w:t>
            </w:r>
          </w:p>
        </w:tc>
        <w:tc>
          <w:tcPr>
            <w:tcW w:w="1284" w:type="dxa"/>
            <w:tcBorders>
              <w:bottom w:val="single" w:sz="6" w:space="0" w:color="000000"/>
            </w:tcBorders>
          </w:tcPr>
          <w:p>
            <w:pPr>
              <w:pStyle w:val="PlainText"/>
              <w:snapToGrid w:val="false"/>
              <w:jc w:val="center"/>
              <w:rPr>
                <w:rFonts w:ascii="Arial" w:hAnsi="Arial" w:cs="Arial"/>
              </w:rPr>
            </w:pPr>
            <w:r>
              <w:rPr>
                <w:rFonts w:cs="Arial" w:ascii="Arial" w:hAnsi="Arial"/>
              </w:rPr>
            </w:r>
          </w:p>
          <w:p>
            <w:pPr>
              <w:pStyle w:val="PlainText"/>
              <w:jc w:val="center"/>
              <w:rPr>
                <w:rFonts w:ascii="Arial" w:hAnsi="Arial" w:cs="Arial"/>
              </w:rPr>
            </w:pPr>
            <w:r>
              <w:rPr>
                <w:rFonts w:cs="Arial" w:ascii="Arial" w:hAnsi="Arial"/>
              </w:rPr>
              <w:t>$0</w:t>
            </w:r>
          </w:p>
        </w:tc>
        <w:tc>
          <w:tcPr>
            <w:tcW w:w="4654" w:type="dxa"/>
            <w:tcBorders>
              <w:bottom w:val="single" w:sz="6" w:space="0" w:color="000000"/>
            </w:tcBorders>
          </w:tcPr>
          <w:p>
            <w:pPr>
              <w:pStyle w:val="PlainText"/>
              <w:snapToGrid w:val="false"/>
              <w:rPr>
                <w:rFonts w:ascii="Arial" w:hAnsi="Arial" w:cs="Arial"/>
              </w:rPr>
            </w:pPr>
            <w:r>
              <w:rPr>
                <w:rFonts w:cs="Arial" w:ascii="Arial" w:hAnsi="Arial"/>
              </w:rPr>
            </w:r>
          </w:p>
          <w:p>
            <w:pPr>
              <w:pStyle w:val="PlainText"/>
              <w:rPr>
                <w:rFonts w:ascii="Arial" w:hAnsi="Arial" w:cs="Arial"/>
              </w:rPr>
            </w:pPr>
            <w:r>
              <w:rPr>
                <w:rFonts w:cs="Arial" w:ascii="Arial" w:hAnsi="Arial"/>
              </w:rPr>
              <w:t>On July 14, a Proof of Claim was filed on behalf of Mariner and its partners in the amount of $182,527, and any additional amounts which come due for plugging and abandonment costs related to South Timbalier Block 173 and Brazos Block 364.  Tri-Union has paid all outstanding company invoices plus interest.</w:t>
            </w:r>
          </w:p>
        </w:tc>
      </w:tr>
      <w:tr>
        <w:trPr/>
        <w:tc>
          <w:tcPr>
            <w:tcW w:w="2628" w:type="dxa"/>
            <w:tcBorders>
              <w:top w:val="single" w:sz="6" w:space="0" w:color="000000"/>
            </w:tcBorders>
          </w:tcPr>
          <w:p>
            <w:pPr>
              <w:pStyle w:val="PlainText"/>
              <w:snapToGrid w:val="false"/>
              <w:rPr>
                <w:rFonts w:ascii="Arial" w:hAnsi="Arial" w:cs="Arial"/>
              </w:rPr>
            </w:pPr>
            <w:r>
              <w:rPr>
                <w:rFonts w:cs="Arial" w:ascii="Arial" w:hAnsi="Arial"/>
              </w:rPr>
            </w:r>
          </w:p>
          <w:p>
            <w:pPr>
              <w:pStyle w:val="PlainText"/>
              <w:rPr>
                <w:rFonts w:ascii="Arial" w:hAnsi="Arial" w:cs="Arial"/>
              </w:rPr>
            </w:pPr>
            <w:r>
              <w:rPr>
                <w:rFonts w:cs="Arial" w:ascii="Arial" w:hAnsi="Arial"/>
              </w:rPr>
              <w:t>Falcon Underground Flow Claim</w:t>
            </w:r>
          </w:p>
        </w:tc>
        <w:tc>
          <w:tcPr>
            <w:tcW w:w="1586" w:type="dxa"/>
            <w:tcBorders>
              <w:top w:val="single" w:sz="6" w:space="0" w:color="000000"/>
            </w:tcBorders>
          </w:tcPr>
          <w:p>
            <w:pPr>
              <w:pStyle w:val="PlainText"/>
              <w:snapToGrid w:val="false"/>
              <w:jc w:val="center"/>
              <w:rPr>
                <w:rFonts w:ascii="Arial" w:hAnsi="Arial" w:cs="Arial"/>
              </w:rPr>
            </w:pPr>
            <w:r>
              <w:rPr>
                <w:rFonts w:cs="Arial" w:ascii="Arial" w:hAnsi="Arial"/>
              </w:rPr>
            </w:r>
          </w:p>
          <w:p>
            <w:pPr>
              <w:pStyle w:val="PlainText"/>
              <w:jc w:val="center"/>
              <w:rPr>
                <w:rFonts w:ascii="Arial" w:hAnsi="Arial" w:cs="Arial"/>
              </w:rPr>
            </w:pPr>
            <w:r>
              <w:rPr>
                <w:rFonts w:cs="Arial" w:ascii="Arial" w:hAnsi="Arial"/>
              </w:rPr>
              <w:t>++</w:t>
            </w:r>
          </w:p>
        </w:tc>
        <w:tc>
          <w:tcPr>
            <w:tcW w:w="1284" w:type="dxa"/>
            <w:tcBorders>
              <w:top w:val="single" w:sz="6" w:space="0" w:color="000000"/>
            </w:tcBorders>
          </w:tcPr>
          <w:p>
            <w:pPr>
              <w:pStyle w:val="PlainText"/>
              <w:snapToGrid w:val="false"/>
              <w:jc w:val="center"/>
              <w:rPr>
                <w:rFonts w:ascii="Arial" w:hAnsi="Arial" w:cs="Arial"/>
              </w:rPr>
            </w:pPr>
            <w:r>
              <w:rPr>
                <w:rFonts w:cs="Arial" w:ascii="Arial" w:hAnsi="Arial"/>
              </w:rPr>
            </w:r>
          </w:p>
          <w:p>
            <w:pPr>
              <w:pStyle w:val="PlainText"/>
              <w:jc w:val="center"/>
              <w:rPr>
                <w:rFonts w:ascii="Arial" w:hAnsi="Arial" w:cs="Arial"/>
              </w:rPr>
            </w:pPr>
            <w:r>
              <w:rPr>
                <w:rFonts w:cs="Arial" w:ascii="Arial" w:hAnsi="Arial"/>
              </w:rPr>
              <w:t>$0</w:t>
            </w:r>
          </w:p>
        </w:tc>
        <w:tc>
          <w:tcPr>
            <w:tcW w:w="4654" w:type="dxa"/>
            <w:tcBorders>
              <w:top w:val="single" w:sz="6" w:space="0" w:color="000000"/>
            </w:tcBorders>
          </w:tcPr>
          <w:p>
            <w:pPr>
              <w:pStyle w:val="PlainText"/>
              <w:snapToGrid w:val="false"/>
              <w:rPr>
                <w:rFonts w:ascii="Arial" w:hAnsi="Arial" w:cs="Arial"/>
              </w:rPr>
            </w:pPr>
            <w:r>
              <w:rPr>
                <w:rFonts w:cs="Arial" w:ascii="Arial" w:hAnsi="Arial"/>
              </w:rPr>
            </w:r>
          </w:p>
          <w:p>
            <w:pPr>
              <w:pStyle w:val="PlainText"/>
              <w:rPr>
                <w:rFonts w:ascii="Arial" w:hAnsi="Arial" w:cs="Arial"/>
              </w:rPr>
            </w:pPr>
            <w:r>
              <w:rPr>
                <w:rFonts w:cs="Arial" w:ascii="Arial" w:hAnsi="Arial"/>
              </w:rPr>
              <w:t>The East Breaks 579 #1 Well (Falcon) was drilled to a depth of 8065' where it began to flow during a drill pipe connection.  The well was shut-in immediately.  Upon shutting in the well, the 13-3/8" casing shoe broke down allowing gas to breach the mud line.  The well was controlled via conventional kill methods and no pollution was observed.</w:t>
            </w:r>
          </w:p>
          <w:p>
            <w:pPr>
              <w:pStyle w:val="PlainText"/>
              <w:rPr>
                <w:rFonts w:ascii="Arial" w:hAnsi="Arial" w:cs="Arial"/>
              </w:rPr>
            </w:pPr>
            <w:r>
              <w:rPr>
                <w:rFonts w:cs="Arial" w:ascii="Arial" w:hAnsi="Arial"/>
              </w:rPr>
            </w:r>
          </w:p>
          <w:p>
            <w:pPr>
              <w:pStyle w:val="PlainText"/>
              <w:rPr>
                <w:rFonts w:ascii="Arial" w:hAnsi="Arial" w:cs="Arial"/>
              </w:rPr>
            </w:pPr>
            <w:r>
              <w:rPr>
                <w:rFonts w:cs="Arial" w:ascii="Arial" w:hAnsi="Arial"/>
              </w:rPr>
              <w:t>Upon redrilling the hole section, and subsequent logging, it was determine the zone that flowed was of higher pressure and much higher permeability than predicted.</w:t>
            </w:r>
          </w:p>
        </w:tc>
      </w:tr>
      <w:tr>
        <w:trPr/>
        <w:tc>
          <w:tcPr>
            <w:tcW w:w="2628" w:type="dxa"/>
            <w:tcBorders>
              <w:top w:val="single" w:sz="6" w:space="0" w:color="000000"/>
              <w:bottom w:val="single" w:sz="6" w:space="0" w:color="000000"/>
            </w:tcBorders>
          </w:tcPr>
          <w:p>
            <w:pPr>
              <w:pStyle w:val="PlainText"/>
              <w:snapToGrid w:val="false"/>
              <w:rPr>
                <w:rFonts w:ascii="Arial" w:hAnsi="Arial" w:cs="Arial"/>
              </w:rPr>
            </w:pPr>
            <w:r>
              <w:rPr>
                <w:rFonts w:cs="Arial" w:ascii="Arial" w:hAnsi="Arial"/>
              </w:rPr>
            </w:r>
          </w:p>
          <w:p>
            <w:pPr>
              <w:pStyle w:val="PlainText"/>
              <w:rPr>
                <w:rFonts w:ascii="Arial" w:hAnsi="Arial" w:cs="Arial"/>
              </w:rPr>
            </w:pPr>
            <w:r>
              <w:rPr>
                <w:rFonts w:cs="Arial" w:ascii="Arial" w:hAnsi="Arial"/>
              </w:rPr>
              <w:t>Pluto Payout</w:t>
            </w:r>
          </w:p>
        </w:tc>
        <w:tc>
          <w:tcPr>
            <w:tcW w:w="1586" w:type="dxa"/>
            <w:tcBorders>
              <w:top w:val="single" w:sz="6" w:space="0" w:color="000000"/>
              <w:bottom w:val="single" w:sz="6" w:space="0" w:color="000000"/>
            </w:tcBorders>
          </w:tcPr>
          <w:p>
            <w:pPr>
              <w:pStyle w:val="PlainText"/>
              <w:snapToGrid w:val="false"/>
              <w:jc w:val="center"/>
              <w:rPr>
                <w:rFonts w:ascii="Arial" w:hAnsi="Arial" w:cs="Arial"/>
              </w:rPr>
            </w:pPr>
            <w:r>
              <w:rPr>
                <w:rFonts w:cs="Arial" w:ascii="Arial" w:hAnsi="Arial"/>
              </w:rPr>
            </w:r>
          </w:p>
          <w:p>
            <w:pPr>
              <w:pStyle w:val="PlainText"/>
              <w:jc w:val="center"/>
              <w:rPr>
                <w:rFonts w:ascii="Arial" w:hAnsi="Arial" w:cs="Arial"/>
              </w:rPr>
            </w:pPr>
            <w:r>
              <w:rPr>
                <w:rFonts w:cs="Arial" w:ascii="Arial" w:hAnsi="Arial"/>
              </w:rPr>
              <w:t>++($1,267)</w:t>
            </w:r>
          </w:p>
        </w:tc>
        <w:tc>
          <w:tcPr>
            <w:tcW w:w="1284" w:type="dxa"/>
            <w:tcBorders>
              <w:top w:val="single" w:sz="6" w:space="0" w:color="000000"/>
              <w:bottom w:val="single" w:sz="6" w:space="0" w:color="000000"/>
            </w:tcBorders>
          </w:tcPr>
          <w:p>
            <w:pPr>
              <w:pStyle w:val="PlainText"/>
              <w:snapToGrid w:val="false"/>
              <w:jc w:val="center"/>
              <w:rPr>
                <w:rFonts w:ascii="Arial" w:hAnsi="Arial" w:cs="Arial"/>
              </w:rPr>
            </w:pPr>
            <w:r>
              <w:rPr>
                <w:rFonts w:cs="Arial" w:ascii="Arial" w:hAnsi="Arial"/>
              </w:rPr>
            </w:r>
          </w:p>
          <w:p>
            <w:pPr>
              <w:pStyle w:val="PlainText"/>
              <w:jc w:val="center"/>
              <w:rPr>
                <w:rFonts w:ascii="Arial" w:hAnsi="Arial" w:cs="Arial"/>
              </w:rPr>
            </w:pPr>
            <w:r>
              <w:rPr>
                <w:rFonts w:cs="Arial" w:ascii="Arial" w:hAnsi="Arial"/>
              </w:rPr>
              <w:t>0</w:t>
            </w:r>
          </w:p>
        </w:tc>
        <w:tc>
          <w:tcPr>
            <w:tcW w:w="4654" w:type="dxa"/>
            <w:tcBorders>
              <w:top w:val="single" w:sz="6" w:space="0" w:color="000000"/>
              <w:bottom w:val="single" w:sz="6" w:space="0" w:color="000000"/>
            </w:tcBorders>
          </w:tcPr>
          <w:p>
            <w:pPr>
              <w:pStyle w:val="PlainText"/>
              <w:snapToGrid w:val="false"/>
              <w:rPr>
                <w:rFonts w:ascii="Arial" w:hAnsi="Arial" w:cs="Arial"/>
              </w:rPr>
            </w:pPr>
            <w:r>
              <w:rPr>
                <w:rFonts w:cs="Arial" w:ascii="Arial" w:hAnsi="Arial"/>
              </w:rPr>
            </w:r>
          </w:p>
          <w:p>
            <w:pPr>
              <w:pStyle w:val="PlainText"/>
              <w:keepNext w:val="true"/>
              <w:keepLines/>
              <w:rPr>
                <w:rFonts w:ascii="Arial" w:hAnsi="Arial" w:cs="Arial"/>
              </w:rPr>
            </w:pPr>
            <w:r>
              <w:rPr>
                <w:rFonts w:cs="Arial" w:ascii="Arial" w:hAnsi="Arial"/>
              </w:rPr>
              <w:t>Pluto payout was calculated on a cash basis of accounting subsequent to the temporary loss of Royalty Relief. Burlington Resources have questioned whether a modified accrual basis should be used pushing this royalty payments back into the period which the liability occurred would be more appropriate.  If so, payout would be delayed one month.</w:t>
            </w:r>
          </w:p>
        </w:tc>
      </w:tr>
      <w:tr>
        <w:trPr/>
        <w:tc>
          <w:tcPr>
            <w:tcW w:w="2628" w:type="dxa"/>
            <w:tcBorders>
              <w:top w:val="single" w:sz="6" w:space="0" w:color="000000"/>
              <w:bottom w:val="single" w:sz="6" w:space="0" w:color="000000"/>
            </w:tcBorders>
          </w:tcPr>
          <w:p>
            <w:pPr>
              <w:pStyle w:val="PlainText"/>
              <w:snapToGrid w:val="false"/>
              <w:rPr>
                <w:rFonts w:ascii="Arial" w:hAnsi="Arial" w:cs="Arial"/>
              </w:rPr>
            </w:pPr>
            <w:r>
              <w:rPr>
                <w:rFonts w:cs="Arial" w:ascii="Arial" w:hAnsi="Arial"/>
              </w:rPr>
            </w:r>
          </w:p>
          <w:p>
            <w:pPr>
              <w:pStyle w:val="PlainText"/>
              <w:rPr>
                <w:rFonts w:ascii="Arial" w:hAnsi="Arial" w:cs="Arial"/>
              </w:rPr>
            </w:pPr>
            <w:r>
              <w:rPr>
                <w:rFonts w:cs="Arial" w:ascii="Arial" w:hAnsi="Arial"/>
              </w:rPr>
              <w:t>Pluto Transportation Charges</w:t>
            </w:r>
          </w:p>
        </w:tc>
        <w:tc>
          <w:tcPr>
            <w:tcW w:w="1586" w:type="dxa"/>
            <w:tcBorders>
              <w:top w:val="single" w:sz="6" w:space="0" w:color="000000"/>
              <w:bottom w:val="single" w:sz="6" w:space="0" w:color="000000"/>
            </w:tcBorders>
          </w:tcPr>
          <w:p>
            <w:pPr>
              <w:pStyle w:val="PlainText"/>
              <w:snapToGrid w:val="false"/>
              <w:jc w:val="center"/>
              <w:rPr>
                <w:rFonts w:ascii="Arial" w:hAnsi="Arial" w:cs="Arial"/>
              </w:rPr>
            </w:pPr>
            <w:r>
              <w:rPr>
                <w:rFonts w:cs="Arial" w:ascii="Arial" w:hAnsi="Arial"/>
              </w:rPr>
            </w:r>
          </w:p>
          <w:p>
            <w:pPr>
              <w:pStyle w:val="PlainText"/>
              <w:jc w:val="center"/>
              <w:rPr>
                <w:rFonts w:ascii="Arial" w:hAnsi="Arial" w:cs="Arial"/>
              </w:rPr>
            </w:pPr>
            <w:r>
              <w:rPr>
                <w:rFonts w:cs="Arial" w:ascii="Arial" w:hAnsi="Arial"/>
              </w:rPr>
              <w:t>($972)</w:t>
            </w:r>
          </w:p>
        </w:tc>
        <w:tc>
          <w:tcPr>
            <w:tcW w:w="1284" w:type="dxa"/>
            <w:tcBorders>
              <w:top w:val="single" w:sz="6" w:space="0" w:color="000000"/>
              <w:bottom w:val="single" w:sz="6" w:space="0" w:color="000000"/>
            </w:tcBorders>
          </w:tcPr>
          <w:p>
            <w:pPr>
              <w:pStyle w:val="PlainText"/>
              <w:snapToGrid w:val="false"/>
              <w:jc w:val="center"/>
              <w:rPr>
                <w:rFonts w:ascii="Arial" w:hAnsi="Arial" w:cs="Arial"/>
              </w:rPr>
            </w:pPr>
            <w:r>
              <w:rPr>
                <w:rFonts w:cs="Arial" w:ascii="Arial" w:hAnsi="Arial"/>
              </w:rPr>
            </w:r>
          </w:p>
          <w:p>
            <w:pPr>
              <w:pStyle w:val="PlainText"/>
              <w:jc w:val="center"/>
              <w:rPr>
                <w:rFonts w:ascii="Arial" w:hAnsi="Arial" w:cs="Arial"/>
              </w:rPr>
            </w:pPr>
            <w:r>
              <w:rPr>
                <w:rFonts w:cs="Arial" w:ascii="Arial" w:hAnsi="Arial"/>
              </w:rPr>
              <w:t>0</w:t>
            </w:r>
          </w:p>
        </w:tc>
        <w:tc>
          <w:tcPr>
            <w:tcW w:w="4654" w:type="dxa"/>
            <w:tcBorders>
              <w:top w:val="single" w:sz="6" w:space="0" w:color="000000"/>
              <w:bottom w:val="single" w:sz="6" w:space="0" w:color="000000"/>
            </w:tcBorders>
          </w:tcPr>
          <w:p>
            <w:pPr>
              <w:pStyle w:val="PlainText"/>
              <w:snapToGrid w:val="false"/>
              <w:rPr>
                <w:rFonts w:ascii="Arial" w:hAnsi="Arial" w:cs="Arial"/>
              </w:rPr>
            </w:pPr>
            <w:r>
              <w:rPr>
                <w:rFonts w:cs="Arial" w:ascii="Arial" w:hAnsi="Arial"/>
              </w:rPr>
            </w:r>
          </w:p>
          <w:p>
            <w:pPr>
              <w:pStyle w:val="PlainText"/>
              <w:rPr>
                <w:rFonts w:ascii="Arial" w:hAnsi="Arial" w:cs="Arial"/>
              </w:rPr>
            </w:pPr>
            <w:r>
              <w:rPr>
                <w:rFonts w:cs="Arial" w:ascii="Arial" w:hAnsi="Arial"/>
              </w:rPr>
              <w:t>Currently Mariner deducts transportation costs relating to its flowline from revenues subject to royalties.  This charge could be disputed by the MMS as the flowline is upstream from the platform.</w:t>
            </w:r>
          </w:p>
        </w:tc>
      </w:tr>
      <w:tr>
        <w:trPr/>
        <w:tc>
          <w:tcPr>
            <w:tcW w:w="2628" w:type="dxa"/>
            <w:tcBorders>
              <w:top w:val="single" w:sz="6" w:space="0" w:color="000000"/>
              <w:bottom w:val="single" w:sz="6" w:space="0" w:color="000000"/>
            </w:tcBorders>
          </w:tcPr>
          <w:p>
            <w:pPr>
              <w:pStyle w:val="PlainText"/>
              <w:snapToGrid w:val="false"/>
              <w:rPr>
                <w:rFonts w:ascii="Arial" w:hAnsi="Arial" w:cs="Arial"/>
              </w:rPr>
            </w:pPr>
            <w:r>
              <w:rPr>
                <w:rFonts w:cs="Arial" w:ascii="Arial" w:hAnsi="Arial"/>
              </w:rPr>
            </w:r>
          </w:p>
          <w:p>
            <w:pPr>
              <w:pStyle w:val="PlainText"/>
              <w:rPr>
                <w:rFonts w:ascii="Arial" w:hAnsi="Arial" w:cs="Arial"/>
              </w:rPr>
            </w:pPr>
            <w:r>
              <w:rPr>
                <w:rFonts w:cs="Arial" w:ascii="Arial" w:hAnsi="Arial"/>
              </w:rPr>
              <w:t>MMS Royalty Payments</w:t>
            </w:r>
          </w:p>
        </w:tc>
        <w:tc>
          <w:tcPr>
            <w:tcW w:w="1586" w:type="dxa"/>
            <w:tcBorders>
              <w:top w:val="single" w:sz="6" w:space="0" w:color="000000"/>
              <w:bottom w:val="single" w:sz="6" w:space="0" w:color="000000"/>
            </w:tcBorders>
          </w:tcPr>
          <w:p>
            <w:pPr>
              <w:pStyle w:val="PlainText"/>
              <w:snapToGrid w:val="false"/>
              <w:jc w:val="center"/>
              <w:rPr>
                <w:rFonts w:ascii="Arial" w:hAnsi="Arial" w:cs="Arial"/>
              </w:rPr>
            </w:pPr>
            <w:r>
              <w:rPr>
                <w:rFonts w:cs="Arial" w:ascii="Arial" w:hAnsi="Arial"/>
              </w:rPr>
            </w:r>
          </w:p>
          <w:p>
            <w:pPr>
              <w:pStyle w:val="PlainText"/>
              <w:jc w:val="center"/>
              <w:rPr>
                <w:rFonts w:ascii="Arial" w:hAnsi="Arial" w:cs="Arial"/>
              </w:rPr>
            </w:pPr>
            <w:r>
              <w:rPr>
                <w:rFonts w:cs="Arial" w:ascii="Arial" w:hAnsi="Arial"/>
              </w:rPr>
              <w:t>($4,522)</w:t>
            </w:r>
          </w:p>
        </w:tc>
        <w:tc>
          <w:tcPr>
            <w:tcW w:w="1284" w:type="dxa"/>
            <w:tcBorders>
              <w:top w:val="single" w:sz="6" w:space="0" w:color="000000"/>
              <w:bottom w:val="single" w:sz="6" w:space="0" w:color="000000"/>
            </w:tcBorders>
          </w:tcPr>
          <w:p>
            <w:pPr>
              <w:pStyle w:val="PlainText"/>
              <w:snapToGrid w:val="false"/>
              <w:jc w:val="center"/>
              <w:rPr>
                <w:rFonts w:ascii="Arial" w:hAnsi="Arial" w:cs="Arial"/>
              </w:rPr>
            </w:pPr>
            <w:r>
              <w:rPr>
                <w:rFonts w:cs="Arial" w:ascii="Arial" w:hAnsi="Arial"/>
              </w:rPr>
            </w:r>
          </w:p>
        </w:tc>
        <w:tc>
          <w:tcPr>
            <w:tcW w:w="4654" w:type="dxa"/>
            <w:tcBorders>
              <w:top w:val="single" w:sz="6" w:space="0" w:color="000000"/>
              <w:bottom w:val="single" w:sz="6" w:space="0" w:color="000000"/>
            </w:tcBorders>
          </w:tcPr>
          <w:p>
            <w:pPr>
              <w:pStyle w:val="PlainText"/>
              <w:snapToGrid w:val="false"/>
              <w:rPr>
                <w:rFonts w:ascii="Arial" w:hAnsi="Arial" w:cs="Arial"/>
              </w:rPr>
            </w:pPr>
            <w:r>
              <w:rPr>
                <w:rFonts w:cs="Arial" w:ascii="Arial" w:hAnsi="Arial"/>
              </w:rPr>
            </w:r>
          </w:p>
          <w:p>
            <w:pPr>
              <w:pStyle w:val="PlainText"/>
              <w:rPr>
                <w:rFonts w:ascii="Arial" w:hAnsi="Arial" w:cs="Arial"/>
              </w:rPr>
            </w:pPr>
            <w:r>
              <w:rPr>
                <w:rFonts w:cs="Arial" w:ascii="Arial" w:hAnsi="Arial"/>
              </w:rPr>
              <w:t>Mariner has three post-act leases which have been exempt from royalty payments to the MMS.  In 2000 due to high natural gas prices a provision in the leases temporarily revoked this royalty relief.  Mariner is currently disputing with the provision allowing the revocation was legal and has filed and has filed an administrative appeal.</w:t>
            </w:r>
          </w:p>
        </w:tc>
      </w:tr>
      <w:tr>
        <w:trPr/>
        <w:tc>
          <w:tcPr>
            <w:tcW w:w="2628" w:type="dxa"/>
            <w:tcBorders>
              <w:top w:val="single" w:sz="6" w:space="0" w:color="000000"/>
              <w:bottom w:val="single" w:sz="6" w:space="0" w:color="000000"/>
            </w:tcBorders>
          </w:tcPr>
          <w:p>
            <w:pPr>
              <w:pStyle w:val="PlainText"/>
              <w:snapToGrid w:val="false"/>
              <w:rPr>
                <w:rFonts w:ascii="Arial" w:hAnsi="Arial" w:cs="Arial"/>
              </w:rPr>
            </w:pPr>
            <w:r>
              <w:rPr>
                <w:rFonts w:cs="Arial" w:ascii="Arial" w:hAnsi="Arial"/>
              </w:rPr>
            </w:r>
          </w:p>
          <w:p>
            <w:pPr>
              <w:pStyle w:val="PlainText"/>
              <w:rPr>
                <w:rFonts w:ascii="Arial" w:hAnsi="Arial" w:cs="Arial"/>
              </w:rPr>
            </w:pPr>
            <w:r>
              <w:rPr>
                <w:rFonts w:cs="Arial" w:ascii="Arial" w:hAnsi="Arial"/>
              </w:rPr>
              <w:t>Suspended Revenues</w:t>
            </w:r>
          </w:p>
        </w:tc>
        <w:tc>
          <w:tcPr>
            <w:tcW w:w="1586" w:type="dxa"/>
            <w:tcBorders>
              <w:top w:val="single" w:sz="6" w:space="0" w:color="000000"/>
              <w:bottom w:val="single" w:sz="6" w:space="0" w:color="000000"/>
            </w:tcBorders>
          </w:tcPr>
          <w:p>
            <w:pPr>
              <w:pStyle w:val="PlainText"/>
              <w:snapToGrid w:val="false"/>
              <w:jc w:val="center"/>
              <w:rPr>
                <w:rFonts w:ascii="Arial" w:hAnsi="Arial" w:cs="Arial"/>
              </w:rPr>
            </w:pPr>
            <w:r>
              <w:rPr>
                <w:rFonts w:cs="Arial" w:ascii="Arial" w:hAnsi="Arial"/>
              </w:rPr>
            </w:r>
          </w:p>
          <w:p>
            <w:pPr>
              <w:pStyle w:val="PlainText"/>
              <w:jc w:val="center"/>
              <w:rPr>
                <w:rFonts w:ascii="Arial" w:hAnsi="Arial" w:cs="Arial"/>
              </w:rPr>
            </w:pPr>
            <w:r>
              <w:rPr>
                <w:rFonts w:cs="Arial" w:ascii="Arial" w:hAnsi="Arial"/>
              </w:rPr>
              <w:t>$0 - ($25)</w:t>
            </w:r>
          </w:p>
        </w:tc>
        <w:tc>
          <w:tcPr>
            <w:tcW w:w="1284" w:type="dxa"/>
            <w:tcBorders>
              <w:top w:val="single" w:sz="6" w:space="0" w:color="000000"/>
              <w:bottom w:val="single" w:sz="6" w:space="0" w:color="000000"/>
            </w:tcBorders>
          </w:tcPr>
          <w:p>
            <w:pPr>
              <w:pStyle w:val="PlainText"/>
              <w:snapToGrid w:val="false"/>
              <w:jc w:val="center"/>
              <w:rPr>
                <w:rFonts w:ascii="Arial" w:hAnsi="Arial" w:cs="Arial"/>
              </w:rPr>
            </w:pPr>
            <w:r>
              <w:rPr>
                <w:rFonts w:cs="Arial" w:ascii="Arial" w:hAnsi="Arial"/>
              </w:rPr>
            </w:r>
          </w:p>
          <w:p>
            <w:pPr>
              <w:pStyle w:val="PlainText"/>
              <w:jc w:val="center"/>
              <w:rPr>
                <w:rFonts w:ascii="Arial" w:hAnsi="Arial" w:cs="Arial"/>
              </w:rPr>
            </w:pPr>
            <w:r>
              <w:rPr>
                <w:rFonts w:cs="Arial" w:ascii="Arial" w:hAnsi="Arial"/>
              </w:rPr>
              <w:t>($694)</w:t>
            </w:r>
          </w:p>
        </w:tc>
        <w:tc>
          <w:tcPr>
            <w:tcW w:w="4654" w:type="dxa"/>
            <w:tcBorders>
              <w:top w:val="single" w:sz="6" w:space="0" w:color="000000"/>
              <w:bottom w:val="single" w:sz="6" w:space="0" w:color="000000"/>
            </w:tcBorders>
          </w:tcPr>
          <w:p>
            <w:pPr>
              <w:pStyle w:val="PlainText"/>
              <w:snapToGrid w:val="false"/>
              <w:rPr>
                <w:rFonts w:ascii="Arial" w:hAnsi="Arial" w:cs="Arial"/>
              </w:rPr>
            </w:pPr>
            <w:r>
              <w:rPr>
                <w:rFonts w:cs="Arial" w:ascii="Arial" w:hAnsi="Arial"/>
              </w:rPr>
            </w:r>
          </w:p>
          <w:p>
            <w:pPr>
              <w:pStyle w:val="PlainText"/>
              <w:rPr>
                <w:rFonts w:ascii="Arial" w:hAnsi="Arial" w:cs="Arial"/>
              </w:rPr>
            </w:pPr>
            <w:r>
              <w:rPr>
                <w:rFonts w:cs="Arial" w:ascii="Arial" w:hAnsi="Arial"/>
              </w:rPr>
              <w:t>Majority of $ in acct. represents normal legal suspense awaiting final Division Order.  Unresolved suspended amounts will revert to state per escheat laws after three years.</w:t>
            </w:r>
          </w:p>
        </w:tc>
      </w:tr>
      <w:tr>
        <w:trPr/>
        <w:tc>
          <w:tcPr>
            <w:tcW w:w="2628" w:type="dxa"/>
            <w:tcBorders>
              <w:top w:val="single" w:sz="6" w:space="0" w:color="000000"/>
              <w:bottom w:val="single" w:sz="6" w:space="0" w:color="000000"/>
            </w:tcBorders>
          </w:tcPr>
          <w:p>
            <w:pPr>
              <w:pStyle w:val="PlainText"/>
              <w:snapToGrid w:val="false"/>
              <w:rPr>
                <w:rFonts w:ascii="Arial" w:hAnsi="Arial" w:cs="Arial"/>
              </w:rPr>
            </w:pPr>
            <w:r>
              <w:rPr>
                <w:rFonts w:cs="Arial" w:ascii="Arial" w:hAnsi="Arial"/>
              </w:rPr>
            </w:r>
          </w:p>
          <w:p>
            <w:pPr>
              <w:pStyle w:val="PlainText"/>
              <w:rPr>
                <w:rFonts w:ascii="Arial" w:hAnsi="Arial" w:cs="Arial"/>
              </w:rPr>
            </w:pPr>
            <w:r>
              <w:rPr>
                <w:rFonts w:cs="Arial" w:ascii="Arial" w:hAnsi="Arial"/>
              </w:rPr>
              <w:t>Plug &amp; Abandonment Costs</w:t>
            </w:r>
          </w:p>
        </w:tc>
        <w:tc>
          <w:tcPr>
            <w:tcW w:w="1586" w:type="dxa"/>
            <w:tcBorders>
              <w:top w:val="single" w:sz="6" w:space="0" w:color="000000"/>
              <w:bottom w:val="single" w:sz="6" w:space="0" w:color="000000"/>
            </w:tcBorders>
          </w:tcPr>
          <w:p>
            <w:pPr>
              <w:pStyle w:val="PlainText"/>
              <w:snapToGrid w:val="false"/>
              <w:jc w:val="center"/>
              <w:rPr>
                <w:rFonts w:ascii="Arial" w:hAnsi="Arial" w:cs="Arial"/>
              </w:rPr>
            </w:pPr>
            <w:r>
              <w:rPr>
                <w:rFonts w:cs="Arial" w:ascii="Arial" w:hAnsi="Arial"/>
              </w:rPr>
            </w:r>
          </w:p>
          <w:p>
            <w:pPr>
              <w:pStyle w:val="PlainText"/>
              <w:jc w:val="center"/>
              <w:rPr>
                <w:rFonts w:ascii="Arial" w:hAnsi="Arial" w:cs="Arial"/>
              </w:rPr>
            </w:pPr>
            <w:r>
              <w:rPr>
                <w:rFonts w:cs="Arial" w:ascii="Arial" w:hAnsi="Arial"/>
              </w:rPr>
              <w:t>($8,009)</w:t>
            </w:r>
          </w:p>
        </w:tc>
        <w:tc>
          <w:tcPr>
            <w:tcW w:w="1284" w:type="dxa"/>
            <w:tcBorders>
              <w:top w:val="single" w:sz="6" w:space="0" w:color="000000"/>
              <w:bottom w:val="single" w:sz="6" w:space="0" w:color="000000"/>
            </w:tcBorders>
          </w:tcPr>
          <w:p>
            <w:pPr>
              <w:pStyle w:val="PlainText"/>
              <w:snapToGrid w:val="false"/>
              <w:jc w:val="center"/>
              <w:rPr>
                <w:rFonts w:ascii="Arial" w:hAnsi="Arial" w:cs="Arial"/>
              </w:rPr>
            </w:pPr>
            <w:r>
              <w:rPr>
                <w:rFonts w:cs="Arial" w:ascii="Arial" w:hAnsi="Arial"/>
              </w:rPr>
            </w:r>
          </w:p>
          <w:p>
            <w:pPr>
              <w:pStyle w:val="PlainText"/>
              <w:jc w:val="center"/>
              <w:rPr>
                <w:rFonts w:ascii="Arial" w:hAnsi="Arial" w:cs="Arial"/>
              </w:rPr>
            </w:pPr>
            <w:r>
              <w:rPr>
                <w:rFonts w:cs="Arial" w:ascii="Arial" w:hAnsi="Arial"/>
              </w:rPr>
              <w:t>($8,009)</w:t>
            </w:r>
          </w:p>
        </w:tc>
        <w:tc>
          <w:tcPr>
            <w:tcW w:w="4654" w:type="dxa"/>
            <w:tcBorders>
              <w:top w:val="single" w:sz="6" w:space="0" w:color="000000"/>
              <w:bottom w:val="single" w:sz="6" w:space="0" w:color="000000"/>
            </w:tcBorders>
          </w:tcPr>
          <w:p>
            <w:pPr>
              <w:pStyle w:val="PlainText"/>
              <w:snapToGrid w:val="false"/>
              <w:rPr>
                <w:rFonts w:ascii="Arial" w:hAnsi="Arial" w:cs="Arial"/>
              </w:rPr>
            </w:pPr>
            <w:r>
              <w:rPr>
                <w:rFonts w:cs="Arial" w:ascii="Arial" w:hAnsi="Arial"/>
              </w:rPr>
            </w:r>
          </w:p>
          <w:p>
            <w:pPr>
              <w:pStyle w:val="PlainText"/>
              <w:rPr>
                <w:rFonts w:ascii="Arial" w:hAnsi="Arial" w:cs="Arial"/>
              </w:rPr>
            </w:pPr>
            <w:r>
              <w:rPr>
                <w:rFonts w:cs="Arial" w:ascii="Arial" w:hAnsi="Arial"/>
              </w:rPr>
              <w:t>Monthly accrual is based on DD&amp;A rate applied to estimated future abandonment costs.</w:t>
            </w:r>
          </w:p>
        </w:tc>
      </w:tr>
      <w:tr>
        <w:trPr/>
        <w:tc>
          <w:tcPr>
            <w:tcW w:w="2628" w:type="dxa"/>
            <w:tcBorders>
              <w:top w:val="single" w:sz="6" w:space="0" w:color="000000"/>
              <w:bottom w:val="single" w:sz="6" w:space="0" w:color="000000"/>
            </w:tcBorders>
          </w:tcPr>
          <w:p>
            <w:pPr>
              <w:pStyle w:val="PlainText"/>
              <w:snapToGrid w:val="false"/>
              <w:rPr>
                <w:rFonts w:ascii="Arial" w:hAnsi="Arial" w:cs="Arial"/>
              </w:rPr>
            </w:pPr>
            <w:r>
              <w:rPr>
                <w:rFonts w:cs="Arial" w:ascii="Arial" w:hAnsi="Arial"/>
              </w:rPr>
            </w:r>
          </w:p>
          <w:p>
            <w:pPr>
              <w:pStyle w:val="PlainText"/>
              <w:rPr>
                <w:rFonts w:ascii="Arial" w:hAnsi="Arial" w:cs="Arial"/>
              </w:rPr>
            </w:pPr>
            <w:r>
              <w:rPr>
                <w:rFonts w:cs="Arial" w:ascii="Arial" w:hAnsi="Arial"/>
              </w:rPr>
              <w:t>Federal Income Taxes</w:t>
            </w:r>
          </w:p>
          <w:p>
            <w:pPr>
              <w:pStyle w:val="PlainText"/>
              <w:rPr>
                <w:rFonts w:ascii="Arial" w:hAnsi="Arial" w:cs="Arial"/>
              </w:rPr>
            </w:pPr>
            <w:r>
              <w:rPr>
                <w:rFonts w:cs="Arial" w:ascii="Arial" w:hAnsi="Arial"/>
              </w:rPr>
              <w:t>2000</w:t>
            </w:r>
          </w:p>
        </w:tc>
        <w:tc>
          <w:tcPr>
            <w:tcW w:w="1586" w:type="dxa"/>
            <w:tcBorders>
              <w:top w:val="single" w:sz="6" w:space="0" w:color="000000"/>
              <w:bottom w:val="single" w:sz="6" w:space="0" w:color="000000"/>
            </w:tcBorders>
          </w:tcPr>
          <w:p>
            <w:pPr>
              <w:pStyle w:val="PlainText"/>
              <w:snapToGrid w:val="false"/>
              <w:jc w:val="center"/>
              <w:rPr>
                <w:rFonts w:ascii="Arial" w:hAnsi="Arial" w:cs="Arial"/>
              </w:rPr>
            </w:pPr>
            <w:r>
              <w:rPr>
                <w:rFonts w:cs="Arial" w:ascii="Arial" w:hAnsi="Arial"/>
              </w:rPr>
            </w:r>
          </w:p>
          <w:p>
            <w:pPr>
              <w:pStyle w:val="PlainText"/>
              <w:jc w:val="center"/>
              <w:rPr>
                <w:rFonts w:ascii="Arial" w:hAnsi="Arial" w:cs="Arial"/>
              </w:rPr>
            </w:pPr>
            <w:r>
              <w:rPr>
                <w:rFonts w:cs="Arial" w:ascii="Arial" w:hAnsi="Arial"/>
              </w:rPr>
              <w:t>$0</w:t>
            </w:r>
          </w:p>
        </w:tc>
        <w:tc>
          <w:tcPr>
            <w:tcW w:w="1284" w:type="dxa"/>
            <w:tcBorders>
              <w:top w:val="single" w:sz="6" w:space="0" w:color="000000"/>
              <w:bottom w:val="single" w:sz="6" w:space="0" w:color="000000"/>
            </w:tcBorders>
          </w:tcPr>
          <w:p>
            <w:pPr>
              <w:pStyle w:val="PlainText"/>
              <w:snapToGrid w:val="false"/>
              <w:jc w:val="center"/>
              <w:rPr>
                <w:rFonts w:ascii="Arial" w:hAnsi="Arial" w:cs="Arial"/>
              </w:rPr>
            </w:pPr>
            <w:r>
              <w:rPr>
                <w:rFonts w:cs="Arial" w:ascii="Arial" w:hAnsi="Arial"/>
              </w:rPr>
            </w:r>
          </w:p>
          <w:p>
            <w:pPr>
              <w:pStyle w:val="PlainText"/>
              <w:jc w:val="center"/>
              <w:rPr>
                <w:rFonts w:ascii="Arial" w:hAnsi="Arial" w:cs="Arial"/>
              </w:rPr>
            </w:pPr>
            <w:r>
              <w:rPr>
                <w:rFonts w:cs="Arial" w:ascii="Arial" w:hAnsi="Arial"/>
              </w:rPr>
              <w:t>$0</w:t>
            </w:r>
          </w:p>
        </w:tc>
        <w:tc>
          <w:tcPr>
            <w:tcW w:w="4654" w:type="dxa"/>
            <w:tcBorders>
              <w:top w:val="single" w:sz="6" w:space="0" w:color="000000"/>
              <w:bottom w:val="single" w:sz="6" w:space="0" w:color="000000"/>
            </w:tcBorders>
          </w:tcPr>
          <w:p>
            <w:pPr>
              <w:pStyle w:val="PlainText"/>
              <w:snapToGrid w:val="false"/>
              <w:rPr>
                <w:rFonts w:ascii="Arial" w:hAnsi="Arial" w:cs="Arial"/>
              </w:rPr>
            </w:pPr>
            <w:r>
              <w:rPr>
                <w:rFonts w:cs="Arial" w:ascii="Arial" w:hAnsi="Arial"/>
              </w:rPr>
            </w:r>
          </w:p>
          <w:p>
            <w:pPr>
              <w:pStyle w:val="PlainText"/>
              <w:rPr>
                <w:rFonts w:ascii="Arial" w:hAnsi="Arial" w:cs="Arial"/>
              </w:rPr>
            </w:pPr>
            <w:r>
              <w:rPr>
                <w:rFonts w:cs="Arial" w:ascii="Arial" w:hAnsi="Arial"/>
              </w:rPr>
              <w:t>No regular tax or AMT liability for 2000 due to NOL position.</w:t>
            </w:r>
          </w:p>
        </w:tc>
      </w:tr>
    </w:tbl>
    <w:p>
      <w:pPr>
        <w:pStyle w:val="PlainText"/>
        <w:rPr/>
      </w:pPr>
      <w:r>
        <w:rPr/>
      </w:r>
    </w:p>
    <w:p>
      <w:pPr>
        <w:pStyle w:val="PlainText"/>
        <w:rPr/>
      </w:pPr>
      <w:r>
        <w:rPr/>
      </w:r>
    </w:p>
    <w:p>
      <w:pPr>
        <w:sectPr>
          <w:type w:val="nextPage"/>
          <w:pgSz w:w="12240" w:h="15840"/>
          <w:pgMar w:left="1152" w:right="1152" w:gutter="0" w:header="0" w:top="1166" w:footer="0" w:bottom="806"/>
          <w:pgNumType w:fmt="decimal"/>
          <w:formProt w:val="false"/>
          <w:textDirection w:val="lrTb"/>
          <w:docGrid w:type="default" w:linePitch="360" w:charSpace="0"/>
        </w:sectPr>
        <w:pStyle w:val="PlainText"/>
        <w:rPr/>
      </w:pPr>
      <w:r>
        <w:rPr/>
      </w:r>
    </w:p>
    <w:p>
      <w:pPr>
        <w:pStyle w:val="PlainText"/>
        <w:jc w:val="center"/>
        <w:rPr>
          <w:rFonts w:ascii="Arial" w:hAnsi="Arial" w:cs="Arial"/>
          <w:b/>
          <w:smallCaps/>
          <w:sz w:val="36"/>
        </w:rPr>
      </w:pPr>
      <w:r>
        <w:rPr>
          <w:rFonts w:cs="Arial" w:ascii="Arial" w:hAnsi="Arial"/>
          <w:b/>
          <w:smallCaps/>
          <w:sz w:val="36"/>
        </w:rPr>
        <w:t>Mariner Energy LLC</w:t>
      </w:r>
    </w:p>
    <w:p>
      <w:pPr>
        <w:pStyle w:val="PlainText"/>
        <w:rPr>
          <w:rFonts w:ascii="Arial" w:hAnsi="Arial" w:cs="Arial"/>
          <w:b/>
          <w:smallCaps/>
          <w:sz w:val="26"/>
        </w:rPr>
      </w:pPr>
      <w:r>
        <w:rPr>
          <w:rFonts w:cs="Arial" w:ascii="Arial" w:hAnsi="Arial"/>
          <w:b/>
          <w:smallCaps/>
          <w:sz w:val="26"/>
        </w:rPr>
      </w:r>
    </w:p>
    <w:p>
      <w:pPr>
        <w:pStyle w:val="PlainText"/>
        <w:jc w:val="center"/>
        <w:rPr>
          <w:rFonts w:ascii="Arial" w:hAnsi="Arial" w:cs="Arial"/>
          <w:b/>
          <w:sz w:val="22"/>
        </w:rPr>
      </w:pPr>
      <w:r>
        <w:rPr>
          <w:rFonts w:cs="Arial" w:ascii="Arial" w:hAnsi="Arial"/>
          <w:b/>
          <w:sz w:val="26"/>
        </w:rPr>
        <w:t>TAX STATUS REPORT</w:t>
      </w:r>
    </w:p>
    <w:p>
      <w:pPr>
        <w:pStyle w:val="PlainText"/>
        <w:jc w:val="center"/>
        <w:rPr>
          <w:rFonts w:ascii="Arial" w:hAnsi="Arial" w:cs="Arial"/>
          <w:b/>
          <w:sz w:val="22"/>
        </w:rPr>
      </w:pPr>
      <w:r>
        <w:rPr>
          <w:rFonts w:cs="Arial" w:ascii="Arial" w:hAnsi="Arial"/>
          <w:b/>
          <w:sz w:val="22"/>
        </w:rPr>
      </w:r>
    </w:p>
    <w:p>
      <w:pPr>
        <w:pStyle w:val="PlainText"/>
        <w:jc w:val="center"/>
        <w:rPr>
          <w:rFonts w:ascii="Arial" w:hAnsi="Arial" w:cs="Arial"/>
          <w:b/>
          <w:sz w:val="22"/>
        </w:rPr>
      </w:pPr>
      <w:r>
        <w:rPr>
          <w:rFonts w:cs="Arial" w:ascii="Arial" w:hAnsi="Arial"/>
          <w:b/>
          <w:sz w:val="22"/>
        </w:rPr>
      </w:r>
    </w:p>
    <w:p>
      <w:pPr>
        <w:pStyle w:val="PlainText"/>
        <w:rPr>
          <w:rFonts w:ascii="Arial" w:hAnsi="Arial" w:cs="Arial"/>
          <w:b/>
          <w:smallCaps/>
          <w:sz w:val="30"/>
        </w:rPr>
      </w:pPr>
      <w:r>
        <w:rPr>
          <w:rFonts w:cs="Arial" w:ascii="Arial" w:hAnsi="Arial"/>
          <w:b/>
          <w:smallCaps/>
          <w:sz w:val="30"/>
        </w:rPr>
        <w:t>Tax Extensions Filed:</w:t>
      </w:r>
    </w:p>
    <w:p>
      <w:pPr>
        <w:pStyle w:val="PlainText"/>
        <w:rPr>
          <w:rFonts w:ascii="Arial" w:hAnsi="Arial" w:cs="Arial"/>
          <w:b/>
          <w:smallCaps/>
          <w:sz w:val="28"/>
        </w:rPr>
      </w:pPr>
      <w:r>
        <w:rPr>
          <w:rFonts w:cs="Arial" w:ascii="Arial" w:hAnsi="Arial"/>
          <w:b/>
          <w:smallCaps/>
          <w:sz w:val="28"/>
        </w:rPr>
      </w:r>
    </w:p>
    <w:p>
      <w:pPr>
        <w:pStyle w:val="PlainText"/>
        <w:tabs>
          <w:tab w:val="clear" w:pos="720"/>
          <w:tab w:val="right" w:pos="10440" w:leader="none"/>
        </w:tabs>
        <w:spacing w:lineRule="auto" w:line="360"/>
        <w:rPr>
          <w:rFonts w:ascii="CG Omega" w:hAnsi="CG Omega" w:cs="CG Omega"/>
          <w:sz w:val="24"/>
        </w:rPr>
      </w:pPr>
      <w:r>
        <w:rPr>
          <w:rFonts w:cs="CG Omega" w:ascii="CG Omega" w:hAnsi="CG Omega"/>
          <w:sz w:val="24"/>
        </w:rPr>
        <w:t>2000 Federal Income Tax Return</w:t>
        <w:tab/>
        <w:t>Filed</w:t>
      </w:r>
    </w:p>
    <w:p>
      <w:pPr>
        <w:pStyle w:val="PlainText"/>
        <w:tabs>
          <w:tab w:val="clear" w:pos="720"/>
          <w:tab w:val="right" w:pos="10440" w:leader="none"/>
        </w:tabs>
        <w:spacing w:lineRule="auto" w:line="360"/>
        <w:rPr>
          <w:rFonts w:ascii="CG Omega" w:hAnsi="CG Omega" w:cs="CG Omega"/>
          <w:sz w:val="24"/>
        </w:rPr>
      </w:pPr>
      <w:r>
        <w:rPr>
          <w:rFonts w:cs="CG Omega" w:ascii="CG Omega" w:hAnsi="CG Omega"/>
          <w:sz w:val="24"/>
        </w:rPr>
        <w:t>2000 Louisiana Corporate Income and Franchise Tax Return</w:t>
        <w:tab/>
        <w:t>Filed</w:t>
      </w:r>
    </w:p>
    <w:p>
      <w:pPr>
        <w:pStyle w:val="PlainText"/>
        <w:tabs>
          <w:tab w:val="clear" w:pos="720"/>
          <w:tab w:val="right" w:pos="10440" w:leader="none"/>
        </w:tabs>
        <w:spacing w:lineRule="auto" w:line="360"/>
        <w:rPr>
          <w:rFonts w:ascii="CG Omega" w:hAnsi="CG Omega" w:cs="CG Omega"/>
          <w:sz w:val="24"/>
        </w:rPr>
      </w:pPr>
      <w:r>
        <w:rPr>
          <w:rFonts w:cs="CG Omega" w:ascii="CG Omega" w:hAnsi="CG Omega"/>
          <w:sz w:val="24"/>
        </w:rPr>
        <w:t>2000 Michigan Single Business Tax Annual Report</w:t>
        <w:tab/>
        <w:t>Filed</w:t>
      </w:r>
    </w:p>
    <w:p>
      <w:pPr>
        <w:pStyle w:val="PlainText"/>
        <w:tabs>
          <w:tab w:val="clear" w:pos="720"/>
          <w:tab w:val="right" w:pos="10440" w:leader="none"/>
        </w:tabs>
        <w:spacing w:lineRule="auto" w:line="360"/>
        <w:rPr>
          <w:rFonts w:ascii="CG Omega" w:hAnsi="CG Omega" w:cs="CG Omega"/>
          <w:sz w:val="24"/>
        </w:rPr>
      </w:pPr>
      <w:r>
        <w:rPr>
          <w:rFonts w:cs="CG Omega" w:ascii="CG Omega" w:hAnsi="CG Omega"/>
          <w:sz w:val="24"/>
        </w:rPr>
        <w:t>2000 Mississippi Corporate Income and Franchise Tax Return</w:t>
        <w:tab/>
        <w:t>Filed</w:t>
      </w:r>
    </w:p>
    <w:p>
      <w:pPr>
        <w:pStyle w:val="PlainText"/>
        <w:tabs>
          <w:tab w:val="clear" w:pos="720"/>
          <w:tab w:val="right" w:pos="10440" w:leader="none"/>
        </w:tabs>
        <w:spacing w:lineRule="auto" w:line="360"/>
        <w:rPr>
          <w:rFonts w:ascii="CG Omega" w:hAnsi="CG Omega" w:cs="CG Omega"/>
          <w:sz w:val="24"/>
        </w:rPr>
      </w:pPr>
      <w:r>
        <w:rPr>
          <w:rFonts w:cs="CG Omega" w:ascii="CG Omega" w:hAnsi="CG Omega"/>
          <w:sz w:val="24"/>
        </w:rPr>
        <w:t>2000 Oklahoma Corporate Income Tax Return</w:t>
        <w:tab/>
        <w:t>Filed</w:t>
      </w:r>
    </w:p>
    <w:p>
      <w:pPr>
        <w:pStyle w:val="PlainText"/>
        <w:tabs>
          <w:tab w:val="clear" w:pos="720"/>
          <w:tab w:val="right" w:pos="10440" w:leader="none"/>
        </w:tabs>
        <w:spacing w:lineRule="auto" w:line="360"/>
        <w:rPr>
          <w:rFonts w:ascii="CG Omega" w:hAnsi="CG Omega" w:cs="CG Omega"/>
          <w:sz w:val="24"/>
        </w:rPr>
      </w:pPr>
      <w:r>
        <w:rPr>
          <w:rFonts w:cs="CG Omega" w:ascii="CG Omega" w:hAnsi="CG Omega"/>
          <w:sz w:val="24"/>
        </w:rPr>
        <w:t>2000 Texas Corporate Franchise Tax Return</w:t>
        <w:tab/>
        <w:t>Filed</w:t>
      </w:r>
    </w:p>
    <w:p>
      <w:pPr>
        <w:pStyle w:val="PlainText"/>
        <w:rPr>
          <w:rFonts w:ascii="CG Omega" w:hAnsi="CG Omega" w:cs="CG Omega"/>
          <w:sz w:val="24"/>
        </w:rPr>
      </w:pPr>
      <w:r>
        <w:rPr>
          <w:rFonts w:cs="CG Omega" w:ascii="CG Omega" w:hAnsi="CG Omega"/>
          <w:sz w:val="24"/>
        </w:rPr>
      </w:r>
    </w:p>
    <w:p>
      <w:pPr>
        <w:pStyle w:val="PlainText"/>
        <w:rPr>
          <w:rFonts w:ascii="CG Omega" w:hAnsi="CG Omega" w:cs="CG Omega"/>
          <w:sz w:val="24"/>
        </w:rPr>
      </w:pPr>
      <w:r>
        <w:rPr>
          <w:rFonts w:cs="CG Omega" w:ascii="CG Omega" w:hAnsi="CG Omega"/>
          <w:sz w:val="24"/>
        </w:rPr>
      </w:r>
    </w:p>
    <w:p>
      <w:pPr>
        <w:pStyle w:val="PlainText"/>
        <w:rPr>
          <w:rFonts w:ascii="CG Omega" w:hAnsi="CG Omega" w:cs="CG Omega"/>
          <w:b/>
          <w:smallCaps/>
          <w:sz w:val="30"/>
        </w:rPr>
      </w:pPr>
      <w:r>
        <w:rPr>
          <w:rFonts w:cs="CG Omega" w:ascii="CG Omega" w:hAnsi="CG Omega"/>
          <w:b/>
          <w:smallCaps/>
          <w:sz w:val="30"/>
        </w:rPr>
        <w:t>Federal Net Operating Loss Carry Forwards:</w:t>
      </w:r>
    </w:p>
    <w:p>
      <w:pPr>
        <w:pStyle w:val="PlainText"/>
        <w:rPr>
          <w:rFonts w:ascii="CG Omega" w:hAnsi="CG Omega" w:cs="CG Omega"/>
          <w:b/>
          <w:smallCaps/>
          <w:sz w:val="24"/>
        </w:rPr>
      </w:pPr>
      <w:r>
        <w:rPr>
          <w:rFonts w:cs="CG Omega" w:ascii="CG Omega" w:hAnsi="CG Omega"/>
          <w:b/>
          <w:smallCaps/>
          <w:sz w:val="24"/>
        </w:rPr>
      </w:r>
    </w:p>
    <w:p>
      <w:pPr>
        <w:pStyle w:val="PlainText"/>
        <w:tabs>
          <w:tab w:val="clear" w:pos="720"/>
          <w:tab w:val="left" w:pos="6210" w:leader="none"/>
          <w:tab w:val="center" w:pos="9090" w:leader="none"/>
        </w:tabs>
        <w:rPr/>
      </w:pPr>
      <w:r>
        <w:rPr>
          <w:rFonts w:cs="CG Omega" w:ascii="CG Omega" w:hAnsi="CG Omega"/>
          <w:sz w:val="24"/>
        </w:rPr>
        <w:tab/>
      </w:r>
      <w:r>
        <w:rPr>
          <w:rFonts w:cs="CG Omega" w:ascii="CG Omega" w:hAnsi="CG Omega"/>
          <w:b/>
          <w:sz w:val="24"/>
          <w:u w:val="single"/>
        </w:rPr>
        <w:t>Amount</w:t>
      </w:r>
      <w:r>
        <w:rPr>
          <w:rFonts w:cs="CG Omega" w:ascii="CG Omega" w:hAnsi="CG Omega"/>
          <w:b/>
          <w:sz w:val="24"/>
        </w:rPr>
        <w:tab/>
      </w:r>
      <w:r>
        <w:rPr>
          <w:rFonts w:cs="CG Omega" w:ascii="CG Omega" w:hAnsi="CG Omega"/>
          <w:b/>
          <w:sz w:val="24"/>
          <w:u w:val="single"/>
        </w:rPr>
        <w:t>Expiration Date</w:t>
      </w:r>
    </w:p>
    <w:p>
      <w:pPr>
        <w:pStyle w:val="PlainText"/>
        <w:numPr>
          <w:ilvl w:val="0"/>
          <w:numId w:val="1"/>
        </w:numPr>
        <w:tabs>
          <w:tab w:val="clear" w:pos="720"/>
          <w:tab w:val="decimal" w:pos="7290" w:leader="none"/>
          <w:tab w:val="center" w:pos="9090" w:leader="none"/>
        </w:tabs>
        <w:rPr>
          <w:rFonts w:ascii="CG Omega" w:hAnsi="CG Omega" w:cs="CG Omega"/>
          <w:sz w:val="24"/>
        </w:rPr>
      </w:pPr>
      <w:r>
        <w:rPr>
          <w:rFonts w:cs="CG Omega" w:ascii="CG Omega" w:hAnsi="CG Omega"/>
          <w:sz w:val="24"/>
        </w:rPr>
        <w:t>$18,538,566</w:t>
        <w:tab/>
        <w:tab/>
        <w:t>2011</w:t>
      </w:r>
    </w:p>
    <w:p>
      <w:pPr>
        <w:pStyle w:val="PlainText"/>
        <w:tabs>
          <w:tab w:val="clear" w:pos="720"/>
          <w:tab w:val="decimal" w:pos="7290" w:leader="none"/>
          <w:tab w:val="center" w:pos="9090" w:leader="none"/>
        </w:tabs>
        <w:ind w:start="720" w:end="0"/>
        <w:rPr>
          <w:rFonts w:ascii="CG Omega" w:hAnsi="CG Omega" w:cs="CG Omega"/>
          <w:sz w:val="24"/>
        </w:rPr>
      </w:pPr>
      <w:r>
        <w:rPr>
          <w:rFonts w:cs="CG Omega" w:ascii="CG Omega" w:hAnsi="CG Omega"/>
          <w:sz w:val="24"/>
        </w:rPr>
        <w:t>1997</w:t>
        <w:tab/>
        <w:t>26,543,456</w:t>
        <w:tab/>
        <w:t>2017</w:t>
      </w:r>
    </w:p>
    <w:p>
      <w:pPr>
        <w:pStyle w:val="PlainText"/>
        <w:tabs>
          <w:tab w:val="clear" w:pos="720"/>
          <w:tab w:val="decimal" w:pos="7290" w:leader="none"/>
          <w:tab w:val="center" w:pos="9090" w:leader="none"/>
        </w:tabs>
        <w:ind w:start="720" w:end="0"/>
        <w:rPr>
          <w:rFonts w:ascii="CG Omega" w:hAnsi="CG Omega" w:cs="CG Omega"/>
          <w:sz w:val="24"/>
        </w:rPr>
      </w:pPr>
      <w:r>
        <w:rPr>
          <w:rFonts w:cs="CG Omega" w:ascii="CG Omega" w:hAnsi="CG Omega"/>
          <w:sz w:val="24"/>
        </w:rPr>
        <w:t>1998</w:t>
        <w:tab/>
        <w:t>48,340,489</w:t>
        <w:tab/>
        <w:t>2018</w:t>
      </w:r>
    </w:p>
    <w:p>
      <w:pPr>
        <w:pStyle w:val="PlainText"/>
        <w:numPr>
          <w:ilvl w:val="0"/>
          <w:numId w:val="3"/>
        </w:numPr>
        <w:tabs>
          <w:tab w:val="clear" w:pos="720"/>
          <w:tab w:val="decimal" w:pos="7290" w:leader="none"/>
          <w:tab w:val="center" w:pos="9090" w:leader="none"/>
        </w:tabs>
        <w:rPr>
          <w:rFonts w:ascii="CG Omega" w:hAnsi="CG Omega" w:cs="CG Omega"/>
          <w:sz w:val="24"/>
          <w:u w:val="single"/>
        </w:rPr>
      </w:pPr>
      <w:r>
        <w:rPr>
          <w:rFonts w:cs="CG Omega" w:ascii="CG Omega" w:hAnsi="CG Omega"/>
          <w:sz w:val="24"/>
        </w:rPr>
        <w:t>41,330,142</w:t>
        <w:tab/>
        <w:tab/>
        <w:t>2019</w:t>
      </w:r>
    </w:p>
    <w:p>
      <w:pPr>
        <w:pStyle w:val="PlainText"/>
        <w:numPr>
          <w:ilvl w:val="0"/>
          <w:numId w:val="3"/>
        </w:numPr>
        <w:tabs>
          <w:tab w:val="clear" w:pos="720"/>
          <w:tab w:val="decimal" w:pos="7290" w:leader="none"/>
          <w:tab w:val="center" w:pos="9090" w:leader="none"/>
        </w:tabs>
        <w:rPr>
          <w:rFonts w:ascii="CG Omega" w:hAnsi="CG Omega" w:cs="CG Omega"/>
          <w:sz w:val="24"/>
          <w:u w:val="single"/>
        </w:rPr>
      </w:pPr>
      <w:r>
        <w:rPr>
          <w:rFonts w:cs="CG Omega" w:ascii="CG Omega" w:hAnsi="CG Omega"/>
          <w:sz w:val="24"/>
          <w:u w:val="single"/>
        </w:rPr>
        <w:t>11,311,010</w:t>
        <w:tab/>
      </w:r>
      <w:r>
        <w:rPr>
          <w:rFonts w:cs="CG Omega" w:ascii="CG Omega" w:hAnsi="CG Omega"/>
          <w:sz w:val="24"/>
        </w:rPr>
        <w:tab/>
        <w:t>2020</w:t>
      </w:r>
    </w:p>
    <w:p>
      <w:pPr>
        <w:pStyle w:val="PlainText"/>
        <w:tabs>
          <w:tab w:val="clear" w:pos="720"/>
          <w:tab w:val="decimal" w:pos="7290" w:leader="none"/>
        </w:tabs>
        <w:ind w:start="720" w:end="0"/>
        <w:rPr/>
      </w:pPr>
      <w:r>
        <w:rPr>
          <w:rFonts w:cs="CG Omega" w:ascii="CG Omega" w:hAnsi="CG Omega"/>
          <w:sz w:val="24"/>
        </w:rPr>
        <w:tab/>
      </w:r>
      <w:r>
        <w:rPr>
          <w:rFonts w:cs="CG Omega" w:ascii="CG Omega" w:hAnsi="CG Omega"/>
          <w:sz w:val="24"/>
          <w:u w:val="double"/>
        </w:rPr>
        <w:t>$146,531,025</w:t>
      </w:r>
    </w:p>
    <w:p>
      <w:pPr>
        <w:pStyle w:val="PlainText"/>
        <w:tabs>
          <w:tab w:val="clear" w:pos="720"/>
          <w:tab w:val="decimal" w:pos="7290" w:leader="none"/>
        </w:tabs>
        <w:ind w:start="720" w:end="0"/>
        <w:rPr>
          <w:rFonts w:ascii="CG Omega" w:hAnsi="CG Omega" w:cs="CG Omega"/>
          <w:sz w:val="24"/>
          <w:u w:val="double"/>
        </w:rPr>
      </w:pPr>
      <w:r>
        <w:rPr>
          <w:rFonts w:cs="CG Omega" w:ascii="CG Omega" w:hAnsi="CG Omega"/>
          <w:sz w:val="24"/>
          <w:u w:val="double"/>
        </w:rPr>
      </w:r>
    </w:p>
    <w:p>
      <w:pPr>
        <w:pStyle w:val="PlainText"/>
        <w:tabs>
          <w:tab w:val="clear" w:pos="720"/>
          <w:tab w:val="decimal" w:pos="7290" w:leader="none"/>
        </w:tabs>
        <w:ind w:start="720" w:end="0"/>
        <w:rPr>
          <w:rFonts w:ascii="CG Omega" w:hAnsi="CG Omega" w:cs="CG Omega"/>
          <w:sz w:val="24"/>
          <w:u w:val="double"/>
        </w:rPr>
      </w:pPr>
      <w:r>
        <w:rPr>
          <w:rFonts w:cs="CG Omega" w:ascii="CG Omega" w:hAnsi="CG Omega"/>
          <w:sz w:val="24"/>
          <w:u w:val="double"/>
        </w:rPr>
      </w:r>
    </w:p>
    <w:p>
      <w:pPr>
        <w:pStyle w:val="PlainText"/>
        <w:tabs>
          <w:tab w:val="clear" w:pos="720"/>
          <w:tab w:val="decimal" w:pos="7290" w:leader="none"/>
        </w:tabs>
        <w:ind w:start="720" w:end="0"/>
        <w:rPr>
          <w:rFonts w:ascii="CG Omega" w:hAnsi="CG Omega" w:cs="CG Omega"/>
          <w:b/>
          <w:smallCaps/>
          <w:sz w:val="30"/>
        </w:rPr>
      </w:pPr>
      <w:r>
        <w:rPr>
          <w:rFonts w:cs="CG Omega" w:ascii="CG Omega" w:hAnsi="CG Omega"/>
          <w:b/>
          <w:smallCaps/>
          <w:sz w:val="30"/>
        </w:rPr>
        <w:t>Significant Elections:</w:t>
      </w:r>
    </w:p>
    <w:p>
      <w:pPr>
        <w:pStyle w:val="PlainText"/>
        <w:tabs>
          <w:tab w:val="clear" w:pos="720"/>
          <w:tab w:val="decimal" w:pos="7290" w:leader="none"/>
          <w:tab w:val="center" w:pos="9090" w:leader="none"/>
        </w:tabs>
        <w:ind w:start="720" w:end="0"/>
        <w:rPr>
          <w:rFonts w:ascii="CG Omega" w:hAnsi="CG Omega" w:cs="CG Omega"/>
          <w:b/>
          <w:smallCaps/>
          <w:sz w:val="24"/>
        </w:rPr>
      </w:pPr>
      <w:r>
        <w:rPr>
          <w:rFonts w:cs="CG Omega" w:ascii="CG Omega" w:hAnsi="CG Omega"/>
          <w:b/>
          <w:smallCaps/>
          <w:sz w:val="24"/>
        </w:rPr>
      </w:r>
    </w:p>
    <w:p>
      <w:pPr>
        <w:pStyle w:val="PlainText"/>
        <w:tabs>
          <w:tab w:val="clear" w:pos="720"/>
          <w:tab w:val="decimal" w:pos="7290" w:leader="none"/>
          <w:tab w:val="center" w:pos="9090" w:leader="none"/>
        </w:tabs>
        <w:ind w:start="720" w:end="0"/>
        <w:rPr>
          <w:rFonts w:ascii="CG Omega" w:hAnsi="CG Omega" w:cs="CG Omega"/>
          <w:sz w:val="24"/>
        </w:rPr>
      </w:pPr>
      <w:r>
        <w:rPr>
          <w:rFonts w:cs="CG Omega" w:ascii="CG Omega" w:hAnsi="CG Omega"/>
          <w:sz w:val="24"/>
        </w:rPr>
      </w:r>
    </w:p>
    <w:p>
      <w:pPr>
        <w:pStyle w:val="PlainText"/>
        <w:numPr>
          <w:ilvl w:val="0"/>
          <w:numId w:val="2"/>
        </w:numPr>
        <w:tabs>
          <w:tab w:val="clear" w:pos="720"/>
          <w:tab w:val="left" w:pos="1080" w:leader="none"/>
          <w:tab w:val="decimal" w:pos="7290" w:leader="none"/>
          <w:tab w:val="center" w:pos="9090" w:leader="none"/>
        </w:tabs>
        <w:ind w:hanging="360" w:start="1080" w:end="0"/>
        <w:rPr>
          <w:rFonts w:ascii="CG Omega" w:hAnsi="CG Omega" w:cs="CG Omega"/>
          <w:sz w:val="24"/>
        </w:rPr>
      </w:pPr>
      <w:r>
        <w:rPr>
          <w:rFonts w:cs="CG Omega" w:ascii="CG Omega" w:hAnsi="CG Omega"/>
          <w:sz w:val="24"/>
        </w:rPr>
        <w:t>Capitalization of intangible drilling costs</w:t>
      </w:r>
    </w:p>
    <w:p>
      <w:pPr>
        <w:pStyle w:val="PlainText"/>
        <w:tabs>
          <w:tab w:val="clear" w:pos="720"/>
          <w:tab w:val="decimal" w:pos="7290" w:leader="none"/>
          <w:tab w:val="center" w:pos="9090" w:leader="none"/>
        </w:tabs>
        <w:ind w:start="720" w:end="0"/>
        <w:rPr>
          <w:rFonts w:ascii="CG Omega" w:hAnsi="CG Omega" w:cs="CG Omega"/>
          <w:sz w:val="24"/>
        </w:rPr>
      </w:pPr>
      <w:r>
        <w:rPr>
          <w:rFonts w:cs="CG Omega" w:ascii="CG Omega" w:hAnsi="CG Omega"/>
          <w:sz w:val="24"/>
        </w:rPr>
      </w:r>
    </w:p>
    <w:p>
      <w:pPr>
        <w:pStyle w:val="PlainText"/>
        <w:numPr>
          <w:ilvl w:val="0"/>
          <w:numId w:val="2"/>
        </w:numPr>
        <w:tabs>
          <w:tab w:val="clear" w:pos="720"/>
          <w:tab w:val="left" w:pos="1080" w:leader="none"/>
          <w:tab w:val="decimal" w:pos="7290" w:leader="none"/>
          <w:tab w:val="center" w:pos="9090" w:leader="none"/>
        </w:tabs>
        <w:ind w:hanging="360" w:start="1080" w:end="0"/>
        <w:rPr>
          <w:rFonts w:ascii="CG Omega" w:hAnsi="CG Omega" w:cs="CG Omega"/>
          <w:sz w:val="24"/>
        </w:rPr>
      </w:pPr>
      <w:r>
        <w:rPr>
          <w:rFonts w:cs="CG Omega" w:ascii="CG Omega" w:hAnsi="CG Omega"/>
          <w:sz w:val="24"/>
        </w:rPr>
        <w:t>Capitalization of delay rentals</w:t>
      </w:r>
    </w:p>
    <w:p>
      <w:pPr>
        <w:pStyle w:val="PlainText"/>
        <w:tabs>
          <w:tab w:val="clear" w:pos="720"/>
          <w:tab w:val="decimal" w:pos="7290" w:leader="none"/>
          <w:tab w:val="center" w:pos="9090" w:leader="none"/>
        </w:tabs>
        <w:rPr>
          <w:rFonts w:ascii="CG Omega" w:hAnsi="CG Omega" w:cs="CG Omega"/>
          <w:sz w:val="24"/>
        </w:rPr>
      </w:pPr>
      <w:r>
        <w:rPr>
          <w:rFonts w:cs="CG Omega" w:ascii="CG Omega" w:hAnsi="CG Omega"/>
          <w:sz w:val="24"/>
        </w:rPr>
      </w:r>
    </w:p>
    <w:p>
      <w:pPr>
        <w:pStyle w:val="PlainText"/>
        <w:numPr>
          <w:ilvl w:val="0"/>
          <w:numId w:val="2"/>
        </w:numPr>
        <w:tabs>
          <w:tab w:val="clear" w:pos="720"/>
          <w:tab w:val="left" w:pos="1080" w:leader="none"/>
          <w:tab w:val="decimal" w:pos="7290" w:leader="none"/>
          <w:tab w:val="center" w:pos="9090" w:leader="none"/>
        </w:tabs>
        <w:ind w:hanging="360" w:start="1080" w:end="0"/>
        <w:rPr>
          <w:rFonts w:ascii="CG Omega" w:hAnsi="CG Omega" w:cs="CG Omega"/>
          <w:sz w:val="24"/>
        </w:rPr>
      </w:pPr>
      <w:r>
        <w:rPr>
          <w:rFonts w:cs="CG Omega" w:ascii="CG Omega" w:hAnsi="CG Omega"/>
          <w:sz w:val="24"/>
        </w:rPr>
        <w:t>Unit of production amortization of lease, well and equipment cost</w:t>
      </w:r>
    </w:p>
    <w:sectPr>
      <w:footerReference w:type="default" r:id="rId2"/>
      <w:type w:val="nextPage"/>
      <w:pgSz w:w="12240" w:h="15840"/>
      <w:pgMar w:left="720" w:right="72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CG Omeg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996"/>
      <w:numFmt w:val="decimal"/>
      <w:lvlText w:val="%1"/>
      <w:lvlJc w:val="start"/>
      <w:pPr>
        <w:tabs>
          <w:tab w:val="num" w:pos="5955"/>
        </w:tabs>
        <w:ind w:start="5955" w:hanging="5235"/>
      </w:pPr>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999"/>
      <w:numFmt w:val="decimal"/>
      <w:lvlText w:val="%1"/>
      <w:lvlJc w:val="start"/>
      <w:pPr>
        <w:tabs>
          <w:tab w:val="num" w:pos="6090"/>
        </w:tabs>
        <w:ind w:start="6090" w:hanging="5370"/>
      </w:pPr>
      <w:rPr>
        <w:u w:val="none"/>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2001-11-13T10:43:00Z</dcterms:created>
  <dc:creator>Jessie Parrish</dc:creator>
  <dc:description/>
  <dc:language>en-CA</dc:language>
  <cp:lastModifiedBy>MWICHTERICH</cp:lastModifiedBy>
  <cp:lastPrinted>2001-11-12T16:28:00Z</cp:lastPrinted>
  <dcterms:modified xsi:type="dcterms:W3CDTF">2001-11-13T10:43:00Z</dcterms:modified>
  <cp:revision>2</cp:revision>
  <dc:subject/>
  <dc:title>MARINER ENERGY LLC</dc:title>
</cp:coreProperties>
</file>