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tLeast" w:line="240"/>
        <w:ind w:hanging="0" w:start="0"/>
        <w:jc w:val="center"/>
        <w:rPr>
          <w:rFonts w:ascii="Times New Roman" w:hAnsi="Times New Roman" w:cs="Times New Roman"/>
          <w:color w:val="auto"/>
          <w:sz w:val="24"/>
          <w:lang w:eastAsia="en-CA"/>
        </w:rPr>
      </w:pPr>
      <w:r>
        <w:rPr>
          <w:rFonts w:cs="Times New Roman" w:ascii="Times New Roman" w:hAnsi="Times New Roman"/>
          <w:color w:val="auto"/>
          <w:sz w:val="24"/>
          <w:lang w:eastAsia="en-CA"/>
        </w:rPr>
        <w:t>Operational Optionalities in Demand Side Management Projects</w:t>
      </w:r>
    </w:p>
    <w:p>
      <w:pPr>
        <w:pStyle w:val="Heading4"/>
        <w:ind w:hanging="0" w:start="0"/>
        <w:jc w:val="center"/>
        <w:rPr/>
      </w:pPr>
      <w:r>
        <w:rPr/>
        <w:t>Part 1: A Taxonomy of Technologies</w:t>
      </w:r>
    </w:p>
    <w:p>
      <w:pPr>
        <w:pStyle w:val="Normal"/>
        <w:jc w:val="center"/>
        <w:rPr/>
      </w:pPr>
      <w:r>
        <w:rPr/>
      </w:r>
    </w:p>
    <w:p>
      <w:pPr>
        <w:pStyle w:val="Normal"/>
        <w:jc w:val="center"/>
        <w:rPr/>
      </w:pPr>
      <w:r>
        <w:rPr/>
      </w:r>
    </w:p>
    <w:p>
      <w:pPr>
        <w:pStyle w:val="Normal"/>
        <w:jc w:val="center"/>
        <w:rPr/>
      </w:pPr>
      <w:r>
        <w:rPr/>
        <w:t>Osman Sezgen and Praveen Mellacheruvu</w:t>
      </w:r>
    </w:p>
    <w:p>
      <w:pPr>
        <w:pStyle w:val="Normal"/>
        <w:jc w:val="center"/>
        <w:rPr/>
      </w:pPr>
      <w:r>
        <w:rPr/>
      </w:r>
    </w:p>
    <w:p>
      <w:pPr>
        <w:pStyle w:val="Heading1"/>
        <w:spacing w:lineRule="atLeast" w:line="240"/>
        <w:ind w:hanging="0" w:start="0"/>
        <w:rPr/>
      </w:pPr>
      <w:r>
        <w:rPr/>
        <w:t>Introduction</w:t>
      </w:r>
    </w:p>
    <w:p>
      <w:pPr>
        <w:pStyle w:val="Normal"/>
        <w:rPr/>
      </w:pPr>
      <w:r>
        <w:rPr/>
      </w:r>
    </w:p>
    <w:p>
      <w:pPr>
        <w:pStyle w:val="Normal"/>
        <w:spacing w:lineRule="atLeast" w:line="240"/>
        <w:rPr>
          <w:rFonts w:ascii="Helv" w:hAnsi="Helv" w:cs="Helv"/>
          <w:color w:val="000000"/>
          <w:lang w:eastAsia="en-US"/>
        </w:rPr>
      </w:pPr>
      <w:r>
        <w:rPr>
          <w:rFonts w:cs="Helv" w:ascii="Helv" w:hAnsi="Helv"/>
          <w:color w:val="000000"/>
          <w:lang w:eastAsia="en-US"/>
        </w:rPr>
        <w:t>Demand side management is an important component of the services provided by Enron Energy Services. EES gives commodity price discounts to the client for the option to invest in the customer’s facilities. These investments either result in increased energy efficiency or give EES operational optionalities.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 xml:space="preserve">This article covers the class of investments that creates operational optionalities for EES and a brief description of the associated evaluation methodologies. The second part that will appear in the next newsletter will cover the evaluation methodologies in more detail. </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Technologies for creating operational optionalities can be classified into two groups: (1) short-term fuel switching, and (2) load shifting/peak shaving. These technologies are aimed at electricity load reduction during periods when the electricity prices are high.</w:t>
      </w:r>
    </w:p>
    <w:p>
      <w:pPr>
        <w:pStyle w:val="Normal"/>
        <w:spacing w:lineRule="atLeast" w:line="240"/>
        <w:rPr>
          <w:rFonts w:ascii="Helv" w:hAnsi="Helv" w:cs="Helv"/>
          <w:color w:val="000000"/>
          <w:lang w:eastAsia="en-US"/>
        </w:rPr>
      </w:pPr>
      <w:r>
        <w:rPr>
          <w:rFonts w:cs="Helv" w:ascii="Helv" w:hAnsi="Helv"/>
          <w:color w:val="000000"/>
          <w:lang w:eastAsia="en-US"/>
        </w:rPr>
      </w:r>
    </w:p>
    <w:p>
      <w:pPr>
        <w:pStyle w:val="Heading1"/>
        <w:spacing w:lineRule="atLeast" w:line="240"/>
        <w:ind w:hanging="0" w:start="0"/>
        <w:rPr/>
      </w:pPr>
      <w:r>
        <w:rPr/>
        <w:t>Technologies that Facilitate Short-term Fuel Switching</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Distributed Generation</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 xml:space="preserve">Electricity can be generated at the customer’s site using several technologies including reciprocating engines, microturbines and fuel cells. Engines running on diesel have limited applicability due to environmental considerations. They typically can only be run for a given number of hours during the year depending on local regulations. On the other hand, gas driven technologies (gas driven reciprocating engines, turbines and fuel cells) can generate value during longer hours—possibly throughout the year.  Depending on the heat rate of a particular technology and non-fuel operating costs, it may be more beneficial to generate electricity on site at a given period as opposed to buying it. Further value can be generated if electricity can be sold back to the grid and/or heat can be reclaimed for other end uses at the site like water heating. </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Gas Cooling</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There are several technologies that allow switching to gas for the cooling end use. These include gas-engine driven chillers and absorption chillers. In a typical application, the facility would have a combination of gas and electric chillers. Depending on the observed gas and electricity prices, the operator can switch to the cheapest technology at that given period.</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Heading1"/>
        <w:spacing w:lineRule="atLeast" w:line="240"/>
        <w:ind w:hanging="0" w:start="0"/>
        <w:rPr/>
      </w:pPr>
      <w:r>
        <w:rPr/>
        <w:t>Technologies that Facilitate Load Shifting/Peak Shaving</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Thermal Energy Storage</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Ice or cold water is made during the periods when the electricity is cheap and is used to cool a facility during peak hours. Such technologies involve installation of storage tanks that are costly. However, if the peak/off-peak price differential is high, these technologies may generate value. Another option is to pre-heat or pre-heat a facility during the off-peak hours and essentially use the building mass for thermal storage. These technologies essentially shift the load at the expense of lower efficiency. For example, when ice is made at night to be used during the on-peak hours, standby losses reduce efficiency since the ice tank can not be perfectly insulated.</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Lighting Dimming or Space-Temperature Set-Point Modification</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 xml:space="preserve">These technologies shave the peak demand at the expense of reducing the service level provided to the client. Typical examples are reducing the lighting levels, increasing the set-point temperature during cooling periods, and decreasing it during heating periods. However, perceived reduction in comfort level is not proportional to the actual reduction in the service level. For example, a 15% reduction in lighting level may be perceived as a 5% reduction for the human eye provided the change is administered slowly. A few degrees reduction in the space temperature is not even noticed by the occupants. Therefore, it would not be too hard to convince the client to allow Enron to reduce service levels by a specified amount for a given number of hours a year. The value of this option can be calculated and this can be shared with the client. </w:t>
      </w:r>
    </w:p>
    <w:p>
      <w:pPr>
        <w:pStyle w:val="Normal"/>
        <w:spacing w:lineRule="atLeast" w:line="240"/>
        <w:rPr>
          <w:rFonts w:ascii="Helv" w:hAnsi="Helv" w:cs="Helv"/>
          <w:color w:val="000000"/>
          <w:lang w:eastAsia="en-US"/>
        </w:rPr>
      </w:pPr>
      <w:r>
        <w:rPr>
          <w:rFonts w:cs="Helv" w:ascii="Helv" w:hAnsi="Helv"/>
          <w:color w:val="000000"/>
          <w:lang w:eastAsia="en-US"/>
        </w:rPr>
      </w:r>
    </w:p>
    <w:p>
      <w:pPr>
        <w:pStyle w:val="Heading1"/>
        <w:spacing w:lineRule="atLeast" w:line="240"/>
        <w:ind w:hanging="0" w:start="0"/>
        <w:rPr/>
      </w:pPr>
      <w:r>
        <w:rPr/>
        <w:t>Evaluation Methodologies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Technologies that involve short term fuel switching can be evaluated using the spark-spread option methodology. The inputs to such a methodology are: (1)electricity and gas prices, (2)load shapes of the facility, and (3)the parameters of the particular technology that is being considered. Retail electricity and gas prices, volatilities and correlations are some of the key inputs. If all of the electricity generated is not being sold back to the grid, the shape of the electricity load at the facility also needs to be input to the model. In some instances, the generator is used only to cover the load for a certain end-use or circuit. In such a case, the load associated with that circuit is needed. For example, in a gas-engine driven chiller, the generator is used to drive only the chiller and the cooling load is the appropriate load shape that the model should use.</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 xml:space="preserve">Evaluation methodology for load shifting technologies would utilize the time-spread option calculation. For peak shaving technologies that reduce the service level, one simply calculates the expected value of savings given the number of hours that such a measure can be administered. </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Next week, the second part of this article will cover the valuation methodology for investments in distributed generation and/or gas chilling.</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Helv" w:hAnsi="Helv" w:cs="Helv"/>
      <w:b/>
      <w:color w:val="000000"/>
      <w:lang w:eastAsia="en-US"/>
    </w:rPr>
  </w:style>
  <w:style w:type="paragraph" w:styleId="Heading2">
    <w:name w:val="heading 2"/>
    <w:basedOn w:val="Normal"/>
    <w:next w:val="Normal"/>
    <w:qFormat/>
    <w:pPr>
      <w:keepNext w:val="true"/>
      <w:numPr>
        <w:ilvl w:val="1"/>
        <w:numId w:val="1"/>
      </w:numPr>
      <w:spacing w:lineRule="atLeast" w:line="240"/>
      <w:ind w:hanging="0" w:start="360" w:end="0"/>
      <w:outlineLvl w:val="1"/>
    </w:pPr>
    <w:rPr>
      <w:rFonts w:ascii="Helv" w:hAnsi="Helv" w:cs="Helv"/>
      <w:b/>
      <w:color w:val="000000"/>
      <w:lang w:eastAsia="en-US"/>
    </w:rPr>
  </w:style>
  <w:style w:type="paragraph" w:styleId="Heading3">
    <w:name w:val="heading 3"/>
    <w:basedOn w:val="Normal"/>
    <w:next w:val="Normal"/>
    <w:qFormat/>
    <w:pPr>
      <w:keepNext w:val="true"/>
      <w:numPr>
        <w:ilvl w:val="2"/>
        <w:numId w:val="1"/>
      </w:numPr>
      <w:spacing w:lineRule="atLeast" w:line="240"/>
      <w:ind w:hanging="0" w:start="360" w:end="0"/>
      <w:outlineLvl w:val="2"/>
    </w:pPr>
    <w:rPr>
      <w:rFonts w:ascii="Helv" w:hAnsi="Helv" w:cs="Helv"/>
      <w:b/>
      <w:color w:val="000000"/>
      <w:u w:val="single"/>
      <w:lang w:eastAsia="en-US"/>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2001-04-24T19:38:00Z</dcterms:created>
  <dc:creator>Chonawee Supatgiat</dc:creator>
  <dc:description/>
  <dc:language>en-CA</dc:language>
  <cp:lastModifiedBy>osezgen</cp:lastModifiedBy>
  <cp:lastPrinted>2001-04-26T14:54:00Z</cp:lastPrinted>
  <dcterms:modified xsi:type="dcterms:W3CDTF">2001-04-26T17:44:00Z</dcterms:modified>
  <cp:revision>9</cp:revision>
  <dc:subject/>
  <dc:title>We are working on the real option for installing new equipment that reduces electric comsumption for EES's customers</dc:title>
</cp:coreProperties>
</file>