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pPr>
      <w:bookmarkStart w:id="0" w:name="request_network_service"/>
      <w:r>
        <w:rPr>
          <w:rFonts w:cs="Arial" w:ascii="Arial" w:hAnsi="Arial"/>
          <w:b/>
          <w:sz w:val="22"/>
        </w:rPr>
        <w:t>Request For Network Integration</w:t>
      </w:r>
      <w:r>
        <w:rPr/>
        <w:t xml:space="preserve"> </w:t>
      </w:r>
      <w:r>
        <w:rPr>
          <w:rFonts w:cs="Arial" w:ascii="Arial" w:hAnsi="Arial"/>
          <w:b/>
          <w:sz w:val="22"/>
        </w:rPr>
        <w:t>Transmission Service For Retail Load</w:t>
      </w:r>
      <w:bookmarkEnd w:id="0"/>
    </w:p>
    <w:p>
      <w:pPr>
        <w:pStyle w:val="Normal"/>
        <w:spacing w:lineRule="auto" w:line="360"/>
        <w:jc w:val="center"/>
        <w:rPr>
          <w:rFonts w:ascii="Arial" w:hAnsi="Arial" w:cs="Arial"/>
          <w:b/>
          <w:sz w:val="22"/>
        </w:rPr>
      </w:pPr>
      <w:r>
        <w:rPr>
          <w:rFonts w:cs="Arial" w:ascii="Arial" w:hAnsi="Arial"/>
          <w:b/>
          <w:sz w:val="22"/>
        </w:rPr>
      </w:r>
    </w:p>
    <w:p>
      <w:pPr>
        <w:pStyle w:val="Normal"/>
        <w:spacing w:lineRule="auto" w:line="360"/>
        <w:rPr>
          <w:rFonts w:ascii="Arial" w:hAnsi="Arial" w:cs="Arial"/>
          <w:sz w:val="22"/>
        </w:rPr>
      </w:pPr>
      <w:r>
        <w:rPr>
          <w:rFonts w:cs="Arial" w:ascii="Arial" w:hAnsi="Arial"/>
          <w:sz w:val="22"/>
        </w:rPr>
        <w:t>Check One Please:</w:t>
      </w:r>
    </w:p>
    <w:p>
      <w:pPr>
        <w:pStyle w:val="Heading2"/>
        <w:ind w:hanging="0" w:start="0"/>
        <w:rPr>
          <w:b w:val="false"/>
          <w:sz w:val="22"/>
        </w:rPr>
      </w:pPr>
      <w: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11430</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8pt;margin-top:0.9pt;width:7.15pt;height:7.15pt;mso-wrap-style:none;v-text-anchor:middle">
                <v:fill o:detectmouseclick="t" type="solid" color2="black"/>
                <v:stroke color="black" weight="9360" joinstyle="miter" endcap="flat"/>
                <w10:wrap type="none"/>
              </v:rect>
            </w:pict>
          </mc:Fallback>
        </mc:AlternateContent>
      </w:r>
      <w:r>
        <w:rPr>
          <w:b w:val="false"/>
          <w:sz w:val="22"/>
        </w:rPr>
        <w:tab/>
        <w:t>Initial Application</w:t>
      </w:r>
    </w:p>
    <w:p>
      <w:pPr>
        <w:pStyle w:val="Normal"/>
        <w:spacing w:lineRule="auto" w:line="360"/>
        <w:rPr/>
      </w:pPr>
      <w:r>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22860</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8pt;margin-top:1.8pt;width:7.15pt;height:7.15pt;mso-wrap-style:none;v-text-anchor:middle">
                <v:fill o:detectmouseclick="t" type="solid" color2="black"/>
                <v:stroke color="black" weight="9360" joinstyle="miter" endcap="flat"/>
                <w10:wrap type="none"/>
              </v:rect>
            </w:pict>
          </mc:Fallback>
        </mc:AlternateContent>
      </w:r>
      <w:r>
        <w:rPr>
          <w:rFonts w:cs="Arial" w:ascii="Arial" w:hAnsi="Arial"/>
          <w:sz w:val="22"/>
        </w:rPr>
        <w:tab/>
        <w:t>Amended</w:t>
      </w:r>
      <w:r>
        <w:rPr>
          <w:rFonts w:cs="Arial" w:ascii="Arial" w:hAnsi="Arial"/>
          <w:b/>
          <w:sz w:val="22"/>
        </w:rPr>
        <w:t xml:space="preserve"> </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The legal description of the Transmission Customer identity, including State of Incorporation, mailing address, telephone number and fax number of the party requesting service.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Applicant certifies that it is, or will be upon commencement of service, an eligible Transmission Customer under the OATT.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Total estimated peak amount of requested designated Network Load = ______ MW.</w:t>
      </w:r>
    </w:p>
    <w:p>
      <w:pPr>
        <w:pStyle w:val="Normal"/>
        <w:rPr>
          <w:rFonts w:ascii="Arial" w:hAnsi="Arial" w:cs="Arial"/>
          <w:sz w:val="22"/>
        </w:rPr>
      </w:pPr>
      <w:r>
        <w:rPr>
          <w:rFonts w:cs="Arial" w:ascii="Arial" w:hAnsi="Arial"/>
          <w:sz w:val="22"/>
        </w:rPr>
      </w:r>
    </w:p>
    <w:p>
      <w:pPr>
        <w:pStyle w:val="BodyTextIndent"/>
        <w:rPr/>
      </w:pPr>
      <w:r>
        <w:rPr/>
        <w:t>For discrete customer sites with 10MW or more of estimated peak load, list each Unbundled Retail Customer, the applicable service address, voltage level, estimated peak load (summer and winter), and estimated interruptible load (summer and winter), if any.</w:t>
      </w:r>
      <w:r>
        <w:rPr>
          <w:color w:val="FF0000"/>
        </w:rPr>
        <w:t xml:space="preserve">  </w:t>
      </w:r>
    </w:p>
    <w:p>
      <w:pPr>
        <w:pStyle w:val="Normal"/>
        <w:rPr>
          <w:rFonts w:ascii="Arial" w:hAnsi="Arial" w:cs="Arial"/>
          <w:color w:val="FF0000"/>
          <w:sz w:val="22"/>
        </w:rPr>
      </w:pPr>
      <w:r>
        <w:rPr>
          <w:rFonts w:cs="Arial" w:ascii="Arial" w:hAnsi="Arial"/>
          <w:color w:val="FF0000"/>
          <w:sz w:val="22"/>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Customer</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Address</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Estimated Peak Load (Summer/Winter)</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Estimated Interruptible Load (Summer/Winter)</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Provide 10 year forecast of summer and winter peak loads.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List designated Network Resources  (Attach form “Request To Designate A New Network Resource”).</w:t>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List the requested provider of Ancillary Services under Schedules 3, 4R, 5, and 6.  If a Transmission Customer elects to self provide or procure such services from third party suppliers, verification of the ability to provide such services shall be required.</w:t>
      </w:r>
    </w:p>
    <w:p>
      <w:pPr>
        <w:pStyle w:val="Normal"/>
        <w:rPr>
          <w:rFonts w:ascii="Arial" w:hAnsi="Arial" w:cs="Arial"/>
          <w:sz w:val="22"/>
        </w:rPr>
      </w:pPr>
      <w:r>
        <w:rPr>
          <w:rFonts w:cs="Arial" w:ascii="Arial" w:hAnsi="Arial"/>
          <w:sz w:val="22"/>
        </w:rPr>
      </w:r>
    </w:p>
    <w:tbl>
      <w:tblPr>
        <w:tblW w:w="8856" w:type="dxa"/>
        <w:jc w:val="start"/>
        <w:tblInd w:w="0" w:type="dxa"/>
        <w:tblLayout w:type="fixed"/>
        <w:tblCellMar>
          <w:top w:w="0" w:type="dxa"/>
          <w:start w:w="108" w:type="dxa"/>
          <w:bottom w:w="0" w:type="dxa"/>
          <w:end w:w="108" w:type="dxa"/>
        </w:tblCellMar>
      </w:tblPr>
      <w:tblGrid>
        <w:gridCol w:w="2952"/>
        <w:gridCol w:w="3906"/>
        <w:gridCol w:w="1998"/>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39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Description</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Provider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Schedule 3</w:t>
            </w:r>
          </w:p>
        </w:tc>
        <w:tc>
          <w:tcPr>
            <w:tcW w:w="39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Regulation and Frequency Response</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Schedule 4R</w:t>
            </w:r>
          </w:p>
        </w:tc>
        <w:tc>
          <w:tcPr>
            <w:tcW w:w="39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Energy Imbalance</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Schedule 5</w:t>
            </w:r>
          </w:p>
        </w:tc>
        <w:tc>
          <w:tcPr>
            <w:tcW w:w="39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Operating Reserves – Spinning</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Schedule 6</w:t>
            </w:r>
          </w:p>
        </w:tc>
        <w:tc>
          <w:tcPr>
            <w:tcW w:w="39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Operating Reserves – Supplemental</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3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Service Commencement Date and term of the requested Network Integration Transmission Service.  The minimum term is one year.</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The name and title of an officer of the Transmission Customer who will be executing the Network Integration Transmission Service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spacing w:lineRule="auto" w:line="480"/>
        <w:jc w:val="both"/>
        <w:rPr>
          <w:rFonts w:ascii="Arial" w:hAnsi="Arial" w:cs="Arial"/>
          <w:sz w:val="22"/>
        </w:rPr>
      </w:pPr>
      <w:r>
        <w:rPr>
          <w:rFonts w:cs="Arial" w:ascii="Arial" w:hAnsi="Arial"/>
          <w:sz w:val="22"/>
        </w:rPr>
      </w:r>
    </w:p>
    <w:p>
      <w:pPr>
        <w:pStyle w:val="Normal"/>
        <w:spacing w:lineRule="auto" w:line="480"/>
        <w:jc w:val="both"/>
        <w:rPr>
          <w:rFonts w:ascii="Arial" w:hAnsi="Arial" w:cs="Arial"/>
          <w:sz w:val="22"/>
        </w:rPr>
      </w:pPr>
      <w:r>
        <w:rPr>
          <w:rFonts w:cs="Arial" w:ascii="Arial" w:hAnsi="Arial"/>
          <w:sz w:val="22"/>
        </w:rPr>
      </w:r>
    </w:p>
    <w:p>
      <w:pPr>
        <w:pStyle w:val="Normal"/>
        <w:spacing w:lineRule="auto" w:line="480"/>
        <w:jc w:val="both"/>
        <w:rPr>
          <w:rFonts w:ascii="Arial" w:hAnsi="Arial" w:cs="Arial"/>
          <w:sz w:val="22"/>
        </w:rPr>
      </w:pPr>
      <w:r>
        <w:rPr>
          <w:rFonts w:cs="Arial" w:ascii="Arial" w:hAnsi="Arial"/>
          <w:sz w:val="22"/>
        </w:rPr>
        <w:t>Requested By (signature):__________________________</w:t>
      </w:r>
    </w:p>
    <w:p>
      <w:pPr>
        <w:pStyle w:val="Normal"/>
        <w:spacing w:lineRule="auto" w:line="480"/>
        <w:jc w:val="both"/>
        <w:rPr>
          <w:rFonts w:ascii="Arial" w:hAnsi="Arial" w:cs="Arial"/>
          <w:sz w:val="22"/>
        </w:rPr>
      </w:pPr>
      <w:r>
        <w:rPr>
          <w:rFonts w:cs="Arial" w:ascii="Arial" w:hAnsi="Arial"/>
          <w:sz w:val="22"/>
        </w:rPr>
        <w:t>Requested By (print name):_________________________</w:t>
      </w:r>
    </w:p>
    <w:p>
      <w:pPr>
        <w:pStyle w:val="Heading4"/>
        <w:ind w:hanging="0" w:start="0"/>
        <w:rPr/>
      </w:pPr>
      <w:r>
        <w:rPr/>
        <w:t>Company Name:_________________________________</w:t>
      </w:r>
    </w:p>
    <w:p>
      <w:pPr>
        <w:pStyle w:val="Heading4"/>
        <w:ind w:hanging="0" w:start="0"/>
        <w:rPr/>
      </w:pPr>
      <w:r>
        <w:rPr/>
        <w:t>Date:___________</w:t>
      </w:r>
    </w:p>
    <w:p>
      <w:pPr>
        <w:pStyle w:val="Normal"/>
        <w:jc w:val="both"/>
        <w:rPr>
          <w:sz w:val="22"/>
        </w:rPr>
      </w:pPr>
      <w:r>
        <w:rPr>
          <w:sz w:val="22"/>
        </w:rPr>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Request For Network Integration Transmission Service For Retail Load</w:t>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ab/>
    </w:r>
  </w:p>
  <w:p>
    <w:pPr>
      <w:pStyle w:val="Footer"/>
      <w:rPr>
        <w:lang w:eastAsia="en-US"/>
      </w:rPr>
    </w:pPr>
    <w:r>
      <w:rPr>
        <w:lang w:eastAsia="en-US"/>
      </w:rPr>
    </w:r>
  </w:p>
  <w:p>
    <w:pPr>
      <w:pStyle w:val="Footer"/>
      <w:rPr>
        <w:lang w:eastAsia="en-US"/>
      </w:rPr>
    </w:pPr>
    <w:r>
      <w:rPr>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sz w:val="22"/>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b/>
      <w:sz w:val="24"/>
    </w:rPr>
  </w:style>
  <w:style w:type="paragraph" w:styleId="Heading3">
    <w:name w:val="heading 3"/>
    <w:basedOn w:val="Normal"/>
    <w:next w:val="Normal"/>
    <w:qFormat/>
    <w:pPr>
      <w:keepNext w:val="true"/>
      <w:numPr>
        <w:ilvl w:val="2"/>
        <w:numId w:val="1"/>
      </w:numPr>
      <w:spacing w:lineRule="auto" w:line="360"/>
      <w:jc w:val="center"/>
      <w:outlineLvl w:val="2"/>
    </w:pPr>
    <w:rPr>
      <w:rFonts w:ascii="Arial" w:hAnsi="Arial" w:cs="Arial"/>
      <w:b/>
      <w:sz w:val="22"/>
    </w:rPr>
  </w:style>
  <w:style w:type="paragraph" w:styleId="Heading4">
    <w:name w:val="heading 4"/>
    <w:basedOn w:val="Normal"/>
    <w:next w:val="Normal"/>
    <w:qFormat/>
    <w:pPr>
      <w:keepNext w:val="true"/>
      <w:numPr>
        <w:ilvl w:val="3"/>
        <w:numId w:val="1"/>
      </w:numPr>
      <w:spacing w:lineRule="auto" w:line="480"/>
      <w:jc w:val="both"/>
      <w:outlineLvl w:val="3"/>
    </w:pPr>
    <w:rPr>
      <w:rFonts w:ascii="Arial" w:hAnsi="Arial" w:cs="Arial"/>
      <w:sz w:val="22"/>
    </w:rPr>
  </w:style>
  <w:style w:type="character" w:styleId="WW8Num2z1">
    <w:name w:val="WW8Num2z1"/>
    <w:qFormat/>
    <w:rPr>
      <w:rFonts w:ascii="Wingdings" w:hAnsi="Wingdings" w:cs="Wingdings"/>
    </w:rPr>
  </w:style>
  <w:style w:type="character" w:styleId="WW8Num3z1">
    <w:name w:val="WW8Num3z1"/>
    <w:qFormat/>
    <w:rPr>
      <w:rFonts w:ascii="Wingdings" w:hAnsi="Wingdings" w:cs="Wingdings"/>
    </w:rPr>
  </w:style>
  <w:style w:type="character" w:styleId="WW8Num4z1">
    <w:name w:val="WW8Num4z1"/>
    <w:qFormat/>
    <w:rPr>
      <w:rFonts w:ascii="Wingdings" w:hAnsi="Wingdings" w:cs="Wingdings"/>
    </w:rPr>
  </w:style>
  <w:style w:type="character" w:styleId="WW8Num5z1">
    <w:name w:val="WW8Num5z1"/>
    <w:qFormat/>
    <w:rPr>
      <w:rFonts w:ascii="Wingdings" w:hAnsi="Wingdings" w:cs="Wingdings"/>
    </w:rPr>
  </w:style>
  <w:style w:type="character" w:styleId="WW8Num6z0">
    <w:name w:val="WW8Num6z0"/>
    <w:qFormat/>
    <w:rPr>
      <w:rFonts w:ascii="Symbol" w:hAnsi="Symbol" w:cs="Symbol"/>
    </w:rPr>
  </w:style>
  <w:style w:type="character" w:styleId="WW8Num7z1">
    <w:name w:val="WW8Num7z1"/>
    <w:qFormat/>
    <w:rPr>
      <w:rFonts w:ascii="Wingdings" w:hAnsi="Wingdings" w:cs="Wingdings"/>
    </w:rPr>
  </w:style>
  <w:style w:type="character" w:styleId="WW8Num8z1">
    <w:name w:val="WW8Num8z1"/>
    <w:qFormat/>
    <w:rPr>
      <w:rFonts w:ascii="Wingdings" w:hAnsi="Wingdings" w:cs="Wingdings"/>
    </w:rPr>
  </w:style>
  <w:style w:type="character" w:styleId="WW8Num9z1">
    <w:name w:val="WW8Num9z1"/>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2z1">
    <w:name w:val="WW8Num12z1"/>
    <w:qFormat/>
    <w:rPr>
      <w:rFonts w:ascii="Wingdings" w:hAnsi="Wingdings" w:cs="Wingdings"/>
    </w:rPr>
  </w:style>
  <w:style w:type="character" w:styleId="WW8Num13z1">
    <w:name w:val="WW8Num13z1"/>
    <w:qFormat/>
    <w:rPr>
      <w:rFonts w:ascii="Wingdings" w:hAnsi="Wingdings" w:cs="Wingdings"/>
    </w:rPr>
  </w:style>
  <w:style w:type="character" w:styleId="WW8Num15z1">
    <w:name w:val="WW8Num15z1"/>
    <w:qFormat/>
    <w:rPr>
      <w:rFonts w:ascii="Wingdings" w:hAnsi="Wingdings" w:cs="Wingdings"/>
    </w:rPr>
  </w:style>
  <w:style w:type="character" w:styleId="WW8Num18z0">
    <w:name w:val="WW8Num18z0"/>
    <w:qFormat/>
    <w:rPr/>
  </w:style>
  <w:style w:type="character" w:styleId="WW8Num19z0">
    <w:name w:val="WW8Num19z0"/>
    <w:qFormat/>
    <w:rPr>
      <w:b/>
      <w:i w:val="false"/>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BodyTextIndent">
    <w:name w:val="Body Text Indent"/>
    <w:basedOn w:val="Normal"/>
    <w:pPr>
      <w:ind w:hanging="0" w:start="720" w:end="0"/>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2000-12-22T12:04:00Z</dcterms:created>
  <dc:creator>Daryn Barker</dc:creator>
  <dc:description/>
  <dc:language>en-CA</dc:language>
  <cp:lastModifiedBy>Daryn Barker</cp:lastModifiedBy>
  <cp:lastPrinted>2000-12-22T09:32:00Z</cp:lastPrinted>
  <dcterms:modified xsi:type="dcterms:W3CDTF">2000-12-22T12:35:00Z</dcterms:modified>
  <cp:revision>3</cp:revision>
  <dc:subject/>
  <dc:title>TSA makes initial application for NITS via OASIS</dc:title>
</cp:coreProperties>
</file>