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Normal"/>
        <w:rPr/>
      </w:pPr>
      <w:r>
        <w:rPr/>
        <w:tab/>
        <w:tab/>
        <w:tab/>
        <w:tab/>
        <w:tab/>
        <w:tab/>
        <w:t>)</w:t>
      </w:r>
    </w:p>
    <w:p>
      <w:pPr>
        <w:pStyle w:val="Normal"/>
        <w:rPr>
          <w:b/>
        </w:rPr>
      </w:pPr>
      <w:r>
        <w:rPr>
          <w:b/>
        </w:rPr>
        <w:tab/>
        <w:tab/>
        <w:tab/>
        <w:tab/>
        <w:tab/>
        <w:tab/>
        <w:t>)</w:t>
        <w:tab/>
        <w:t>Docket Nos.   ER96-2573-001</w:t>
      </w:r>
    </w:p>
    <w:p>
      <w:pPr>
        <w:pStyle w:val="Normal"/>
        <w:rPr>
          <w:b/>
        </w:rPr>
      </w:pPr>
      <w:r>
        <w:rPr>
          <w:b/>
        </w:rPr>
        <w:t>Southern Company Services, Inc.</w:t>
        <w:tab/>
        <w:tab/>
        <w:t>)</w:t>
        <w:tab/>
        <w:tab/>
        <w:tab/>
        <w:t>ER95-1614-000</w:t>
      </w:r>
    </w:p>
    <w:p>
      <w:pPr>
        <w:pStyle w:val="Normal"/>
        <w:rPr>
          <w:b/>
        </w:rPr>
      </w:pPr>
      <w:r>
        <w:rPr>
          <w:b/>
        </w:rPr>
        <w:tab/>
        <w:tab/>
        <w:tab/>
        <w:tab/>
        <w:tab/>
        <w:tab/>
        <w:t>)</w:t>
        <w:tab/>
        <w:tab/>
        <w:tab/>
        <w:t>ER95-1625-000</w:t>
      </w:r>
    </w:p>
    <w:p>
      <w:pPr>
        <w:pStyle w:val="Normal"/>
        <w:rPr>
          <w:b/>
        </w:rPr>
      </w:pPr>
      <w:r>
        <w:rPr>
          <w:b/>
        </w:rPr>
        <w:tab/>
        <w:tab/>
        <w:tab/>
        <w:tab/>
        <w:tab/>
        <w:tab/>
        <w:t>)</w:t>
        <w:tab/>
        <w:tab/>
        <w:tab/>
        <w:t>ER98-107-000</w:t>
      </w:r>
    </w:p>
    <w:p>
      <w:pPr>
        <w:pStyle w:val="Normal"/>
        <w:rPr>
          <w:b/>
        </w:rPr>
      </w:pPr>
      <w:r>
        <w:rPr>
          <w:b/>
        </w:rPr>
        <w:tab/>
        <w:tab/>
        <w:tab/>
        <w:tab/>
        <w:tab/>
        <w:tab/>
        <w:t>)</w:t>
        <w:tab/>
        <w:tab/>
        <w:tab/>
        <w:t>ER99-198-000</w:t>
      </w:r>
    </w:p>
    <w:p>
      <w:pPr>
        <w:pStyle w:val="Normal"/>
        <w:rPr>
          <w:b/>
        </w:rPr>
      </w:pPr>
      <w:r>
        <w:rPr>
          <w:b/>
        </w:rPr>
        <w:tab/>
        <w:tab/>
        <w:tab/>
        <w:tab/>
        <w:tab/>
        <w:tab/>
        <w:t>)</w:t>
        <w:tab/>
        <w:tab/>
        <w:tab/>
        <w:t>ER97-2261-000</w:t>
      </w:r>
    </w:p>
    <w:p>
      <w:pPr>
        <w:pStyle w:val="Normal"/>
        <w:rPr>
          <w:b/>
        </w:rPr>
      </w:pPr>
      <w:r>
        <w:rPr>
          <w:b/>
        </w:rPr>
      </w:r>
    </w:p>
    <w:p>
      <w:pPr>
        <w:pStyle w:val="Normal"/>
        <w:rPr>
          <w:b/>
        </w:rPr>
      </w:pPr>
      <w:r>
        <w:rPr>
          <w:b/>
        </w:rPr>
      </w:r>
    </w:p>
    <w:p>
      <w:pPr>
        <w:pStyle w:val="Normal"/>
        <w:jc w:val="center"/>
        <w:rPr>
          <w:b/>
        </w:rPr>
      </w:pPr>
      <w:r>
        <w:rPr>
          <w:b/>
        </w:rPr>
        <w:t>REQUEST FOR REHEARING</w:t>
        <w:br/>
        <w:t>OF PG&amp;E ENERGY TRADING CORP.,</w:t>
      </w:r>
    </w:p>
    <w:p>
      <w:pPr>
        <w:pStyle w:val="Normal"/>
        <w:jc w:val="center"/>
        <w:rPr>
          <w:b/>
        </w:rPr>
      </w:pPr>
      <w:r>
        <w:rPr>
          <w:b/>
        </w:rPr>
        <w:t>PG&amp;E ENERGY TRADING POWER, L.P.,</w:t>
        <w:br/>
        <w:t>SITHE POWER MARKETING, INC.,</w:t>
        <w:br/>
        <w:t>CONSTELLATION POWER SOURCE, INC.</w:t>
        <w:br/>
        <w:t>[AND OTHERS?]</w:t>
      </w:r>
    </w:p>
    <w:p>
      <w:pPr>
        <w:pStyle w:val="Normal"/>
        <w:jc w:val="center"/>
        <w:rPr>
          <w:b/>
        </w:rPr>
      </w:pPr>
      <w:r>
        <w:rPr>
          <w:b/>
        </w:rPr>
      </w:r>
    </w:p>
    <w:p>
      <w:pPr>
        <w:pStyle w:val="Normal"/>
        <w:jc w:val="center"/>
        <w:rPr>
          <w:b/>
          <w:spacing w:val="-3"/>
        </w:rPr>
      </w:pPr>
      <w:r>
        <w:rPr>
          <w:b/>
          <w:spacing w:val="-3"/>
        </w:rPr>
      </w:r>
    </w:p>
    <w:p>
      <w:pPr>
        <w:pStyle w:val="Normal"/>
        <w:spacing w:lineRule="auto" w:line="480"/>
        <w:ind w:firstLine="1440" w:end="0"/>
        <w:rPr/>
      </w:pPr>
      <w:r>
        <w:rPr>
          <w:spacing w:val="-3"/>
        </w:rPr>
        <w:t>Pursuant to Section 313(a) of the Federal Power Act ("FPA"), 16 U.S.C. § 325</w:t>
      </w:r>
      <w:r>
        <w:rPr>
          <w:i/>
          <w:spacing w:val="-3"/>
        </w:rPr>
        <w:t>l</w:t>
      </w:r>
      <w:r>
        <w:rPr>
          <w:spacing w:val="-3"/>
        </w:rPr>
        <w:t xml:space="preserve">(a) (1994), and Rule 713 of this Commission's Rules of Practice and Procedure, 18 C.F.R. § 385.713 (1998), PG&amp;E Energy Trading Corp., PG&amp;E Energy Trading Power, L.P., Sithe Power Marketing, Inc., Constellation Power Source, Inc., </w:t>
      </w:r>
      <w:r>
        <w:rPr>
          <w:b/>
          <w:spacing w:val="-3"/>
        </w:rPr>
        <w:t>[AND OTHERS ?]</w:t>
      </w:r>
      <w:r>
        <w:rPr>
          <w:spacing w:val="-3"/>
        </w:rPr>
        <w:t xml:space="preserve"> ("Petitioners") seek rehearing of the order issued May 27, 1999, in these dockets.  </w:t>
      </w:r>
      <w:r>
        <w:rPr>
          <w:i/>
          <w:spacing w:val="-3"/>
        </w:rPr>
        <w:t>Southern Co. Servs. Inc.</w:t>
      </w:r>
      <w:r>
        <w:rPr>
          <w:spacing w:val="-3"/>
        </w:rPr>
        <w:t xml:space="preserve">, 87 FERC ¶ 61,214 (1999) (the "Order").  The Petitioners were granted party status in this proceeding by the Order.  </w:t>
      </w:r>
      <w:r>
        <w:rPr>
          <w:b/>
          <w:spacing w:val="-3"/>
        </w:rPr>
        <w:t>[CONFIRM FOR ALL PETITIONERS]</w:t>
      </w:r>
    </w:p>
    <w:p>
      <w:pPr>
        <w:pStyle w:val="Normal"/>
        <w:spacing w:lineRule="auto" w:line="480" w:before="240" w:after="0"/>
        <w:rPr>
          <w:b/>
        </w:rPr>
      </w:pPr>
      <w:r>
        <w:rPr>
          <w:b/>
          <w:spacing w:val="-3"/>
        </w:rPr>
        <w:t>I.</w:t>
        <w:tab/>
        <w:t>OVERVIEW</w:t>
      </w:r>
    </w:p>
    <w:p>
      <w:pPr>
        <w:pStyle w:val="Normal"/>
        <w:spacing w:lineRule="auto" w:line="480"/>
        <w:ind w:firstLine="1440" w:end="0"/>
        <w:rPr/>
      </w:pPr>
      <w:r>
        <w:rPr/>
        <w:t>Petitioners support the Commission's underlying objective of levelizing the competitive playing field by equalizing filing requirements for all entities with market-based rates.  However, the means that the Commission has chosen—requiring filing of long-term contracts by all entities—will have real and immediate adverse impacts on the competitive market for bulk power and ultimately upon the consumers for whose benefit the Commission has strived to develop a competitive market for electricity.  While these negative impacts were surely unintended when FERC issued the Order, they nonetheless will have a profound negative impact on competitive markets in at least the following manners:</w:t>
      </w:r>
    </w:p>
    <w:p>
      <w:pPr>
        <w:pStyle w:val="Normal"/>
        <w:numPr>
          <w:ilvl w:val="0"/>
          <w:numId w:val="2"/>
        </w:numPr>
        <w:tabs>
          <w:tab w:val="clear" w:pos="720"/>
          <w:tab w:val="left" w:pos="1080" w:leader="none"/>
        </w:tabs>
        <w:spacing w:lineRule="auto" w:line="480"/>
        <w:ind w:hanging="360" w:start="1080" w:end="0"/>
        <w:rPr/>
      </w:pPr>
      <w:r>
        <w:rPr>
          <w:u w:val="single"/>
        </w:rPr>
        <w:t>Curtailing economic efficiency in the marketplace.</w:t>
      </w:r>
      <w:r>
        <w:rPr/>
        <w:t xml:space="preserve">   The risk profiles of suppliers and buyers (including risk of default, willingness to be interrupted, reliability of supply, and willingness to accept financial risk) are different depending on the parties and specifics of each negotiated transaction.  Depending on terms and conditions of the transaction, including risk allocation, a higher price may be warranted in some circumstances involving the same essential product and term of sale and a low price is warranted in others.  An artificial requirement to disclose such terms and conditions would tend to force uniformity and hence would undermine the efficiencies brought about by transition-specific trade-offs between price and risk allocation.</w:t>
      </w:r>
    </w:p>
    <w:p>
      <w:pPr>
        <w:pStyle w:val="Normal"/>
        <w:numPr>
          <w:ilvl w:val="0"/>
          <w:numId w:val="2"/>
        </w:numPr>
        <w:tabs>
          <w:tab w:val="clear" w:pos="720"/>
          <w:tab w:val="left" w:pos="1080" w:leader="none"/>
        </w:tabs>
        <w:spacing w:lineRule="auto" w:line="480"/>
        <w:ind w:hanging="360" w:start="1080" w:end="0"/>
        <w:rPr/>
      </w:pPr>
      <w:r>
        <w:rPr>
          <w:u w:val="single"/>
        </w:rPr>
        <w:t>Stifling innovation in risk-sharing arrangements.</w:t>
      </w:r>
      <w:r>
        <w:rPr/>
        <w:t xml:space="preserve">  When coupled with the Commission's prior decisions holding that agreements filed with the Commission may not be filed confidentially, the Order effectively mandates disclosure to competitors of all contract terms, including non-price terms such as those intended to allocate risk.  By allowing competitors to "cherry-pick" successfully innovative ideas, such forced publication will discourage the type of innovation that is one of the chief benefits of vibrant competitive markets.</w:t>
      </w:r>
    </w:p>
    <w:p>
      <w:pPr>
        <w:pStyle w:val="Normal"/>
        <w:numPr>
          <w:ilvl w:val="0"/>
          <w:numId w:val="2"/>
        </w:numPr>
        <w:tabs>
          <w:tab w:val="clear" w:pos="720"/>
          <w:tab w:val="left" w:pos="1080" w:leader="none"/>
        </w:tabs>
        <w:spacing w:lineRule="auto" w:line="480"/>
        <w:ind w:hanging="360" w:start="1080" w:end="0"/>
        <w:rPr/>
      </w:pPr>
      <w:r>
        <w:rPr>
          <w:u w:val="single"/>
        </w:rPr>
        <w:t>Raising prices to consumers by facilitating "price signaling" as a result of mandatory disclosure.</w:t>
      </w:r>
    </w:p>
    <w:p>
      <w:pPr>
        <w:pStyle w:val="Normal"/>
        <w:numPr>
          <w:ilvl w:val="0"/>
          <w:numId w:val="2"/>
        </w:numPr>
        <w:tabs>
          <w:tab w:val="clear" w:pos="720"/>
          <w:tab w:val="left" w:pos="1080" w:leader="none"/>
        </w:tabs>
        <w:spacing w:lineRule="auto" w:line="480"/>
        <w:ind w:hanging="360" w:start="1080" w:end="0"/>
        <w:rPr/>
      </w:pPr>
      <w:r>
        <w:rPr>
          <w:u w:val="single"/>
        </w:rPr>
        <w:t>Rendering unusable in many cases sophisticated methods of accounting and risk management that have evolved in power markets that increase market liquidity, and hence foster efficient competition</w:t>
      </w:r>
      <w:r>
        <w:rPr/>
        <w:t>.  Because FERC's Notice of Cancellation requirements will prevent power sellers from terminating a filed long-term contract promptly upon purchaser default, sellers will be subject to much greater potential risk, and hence will require much greater up-front collateralization of their financial exposure to their trading counterparty than they would otherwise.  This will increase costs to purchasers of some transactions, and render other transactions infeasible.</w:t>
      </w:r>
    </w:p>
    <w:p>
      <w:pPr>
        <w:pStyle w:val="Normal"/>
        <w:numPr>
          <w:ilvl w:val="0"/>
          <w:numId w:val="2"/>
        </w:numPr>
        <w:tabs>
          <w:tab w:val="clear" w:pos="720"/>
          <w:tab w:val="left" w:pos="1080" w:leader="none"/>
        </w:tabs>
        <w:spacing w:lineRule="auto" w:line="480"/>
        <w:ind w:hanging="360" w:start="1080" w:end="0"/>
        <w:rPr>
          <w:b/>
        </w:rPr>
      </w:pPr>
      <w:r>
        <w:rPr>
          <w:b/>
          <w:u w:val="single"/>
        </w:rPr>
        <w:t>[Destabilizing the Long-Term Market.</w:t>
      </w:r>
      <w:r>
        <w:rPr>
          <w:b/>
        </w:rPr>
        <w:t>] [TO BE ADDED BASED UPON PHB REVISIONS TO DISCUSSION OF EFFECT OF CANCELLATION REQUIREMENT].</w:t>
      </w:r>
    </w:p>
    <w:p>
      <w:pPr>
        <w:pStyle w:val="Normal"/>
        <w:spacing w:lineRule="auto" w:line="480"/>
        <w:ind w:firstLine="1440" w:end="0"/>
        <w:rPr/>
      </w:pPr>
      <w:r>
        <w:rPr/>
        <w:t>Petitioners propose an alternative means of equalizing reporting requirements that avoids these harmful consequences while still satisfying the requirements of the FPA: filing of quarterly reports for long-term transactions by all entities with market-based rates (just as they are currently filed by all market participants for short-term transactions).  Such an approach is fully filing consistent with the requirements of the Federal Power Act and would conform Commission policy to the overwhelming body of practices of regulatory agencies dealing with the transition of regulated industries to competitive industries both domestically and abroad.</w:t>
      </w:r>
    </w:p>
    <w:p>
      <w:pPr>
        <w:pStyle w:val="Normal"/>
        <w:spacing w:lineRule="auto" w:line="480"/>
        <w:ind w:firstLine="1440" w:end="0"/>
        <w:rPr/>
      </w:pPr>
      <w:r>
        <w:rPr/>
        <w:t xml:space="preserve">As the Commission implicitly recognized when, on its own initiative, it made all entities with market-based rates parties to this case and stayed its order pending a decision on rehearing, few market participants were aware of this proceeding until the order was issued and none, other than the petitioner itself, had the opportunity to comment on this proposal.  Perhaps because of the absence of significant input from the industry, the Commission failed to consider the harmful effects on market participants, efficient competition and ultimately, consumers, of requiring filing of long-term agreements.  However, by making Petitioners and others parties to this proceeding and authorizing the submission of rehearing requests, the Commission has invited parties to make such a showing.  </w:t>
      </w:r>
      <w:r>
        <w:rPr>
          <w:i/>
        </w:rPr>
        <w:t>See</w:t>
      </w:r>
      <w:r>
        <w:rPr/>
        <w:t xml:space="preserve"> Order, </w:t>
      </w:r>
      <w:r>
        <w:rPr>
          <w:i/>
        </w:rPr>
        <w:t>Concurring Opinion of Commissioner Bailey</w:t>
      </w:r>
      <w:r>
        <w:rPr/>
        <w:t xml:space="preserve">, slip op. at 3 ("I welcome any comment as to whether the Commission should employ a different method for equalizing the reporting and filing requirements applicable to power marketers and traditional utilities.").  FERC should be commended for its efforts to obtain further input before it implements this requirement.  Petitioners urge it now to reverse its decision.  </w:t>
      </w:r>
    </w:p>
    <w:p>
      <w:pPr>
        <w:pStyle w:val="Normal"/>
        <w:spacing w:lineRule="auto" w:line="480" w:before="240" w:after="0"/>
        <w:rPr>
          <w:b/>
        </w:rPr>
      </w:pPr>
      <w:r>
        <w:rPr>
          <w:b/>
        </w:rPr>
        <w:t>II.</w:t>
        <w:tab/>
        <w:t>ARGUMENT</w:t>
      </w:r>
    </w:p>
    <w:p>
      <w:pPr>
        <w:pStyle w:val="Normal"/>
        <w:spacing w:before="0" w:after="240"/>
        <w:ind w:hanging="720" w:start="1440" w:end="0"/>
        <w:rPr/>
      </w:pPr>
      <w:r>
        <w:rPr/>
        <w:t>A.</w:t>
        <w:tab/>
        <w:t>The Order Will Undermine Market Liquidity By Defeating Use Of An Extremely Important Means Of Risk Management</w:t>
      </w:r>
    </w:p>
    <w:p>
      <w:pPr>
        <w:pStyle w:val="Normal"/>
        <w:spacing w:lineRule="auto" w:line="480"/>
        <w:ind w:firstLine="1440" w:end="0"/>
        <w:rPr/>
      </w:pPr>
      <w:r>
        <w:rPr/>
        <w:t xml:space="preserve">Agreements that are required to be on file with the Commission may only be terminated upon submission </w:t>
      </w:r>
      <w:r>
        <w:rPr>
          <w:i/>
        </w:rPr>
        <w:t>and acceptance</w:t>
      </w:r>
      <w:r>
        <w:rPr/>
        <w:t xml:space="preserve"> by FERC of a notice of cancellation.  By contrast, agreements not required to be on file are not subject to notice of cancellation requirements.  </w:t>
      </w:r>
      <w:r>
        <w:rPr>
          <w:i/>
        </w:rPr>
        <w:t>See Southern Co. Energy Mktg., L.P.</w:t>
      </w:r>
      <w:r>
        <w:rPr/>
        <w:t>, 84 FERC ¶ 61,199 (1998) ("</w:t>
      </w:r>
      <w:r>
        <w:rPr>
          <w:i/>
        </w:rPr>
        <w:t>PCA I</w:t>
      </w:r>
      <w:r>
        <w:rPr/>
        <w:t xml:space="preserve">"), </w:t>
      </w:r>
      <w:r>
        <w:rPr>
          <w:i/>
        </w:rPr>
        <w:t>reh'g denied</w:t>
      </w:r>
      <w:r>
        <w:rPr/>
        <w:t>, 86 FERC ¶ 61,131 at ______ (1999) ("</w:t>
      </w:r>
      <w:r>
        <w:rPr>
          <w:i/>
        </w:rPr>
        <w:t>PCA II</w:t>
      </w:r>
      <w:r>
        <w:rPr/>
        <w:t xml:space="preserve">"), </w:t>
      </w:r>
      <w:r>
        <w:rPr>
          <w:i/>
        </w:rPr>
        <w:t>reh'g denied</w:t>
      </w:r>
      <w:r>
        <w:rPr/>
        <w:t xml:space="preserve"> </w:t>
      </w:r>
      <w:r>
        <w:rPr>
          <w:b/>
        </w:rPr>
        <w:t>[CITE 6/16 Order; Note case is on appeal.]</w:t>
      </w:r>
      <w:r>
        <w:rPr/>
        <w:t xml:space="preserve">.  For filed agreements where cancellation is necessary—as would be the case with long-term agreements required to be filed with the Commission—the FPA and the Commission's regulations require performance by one party (the seller) until a Notice of Cancellation has been filed and accepted, which normally takes approximately 60 days.  FPA, Section 205, 16 U.S.C. § 824d (1994).  18 C.F.R. § 35.15 (1998).  If the Commission suspends the Notice of Cancellation, the seller's requirement of performance may be delayed for up to another five months and made subject to refund.  At the same time the other party—the purchaser—may be unwilling or unable to perform during this period.  Thus, a seller that is subject to Notice of Cancellation requirements may, for example, be required to deliver energy to a non-performing (non-paying) party for 60 days or more despite terms in the agreement that allow termination promptly on default.  </w:t>
      </w:r>
    </w:p>
    <w:p>
      <w:pPr>
        <w:pStyle w:val="Normal"/>
        <w:spacing w:lineRule="auto" w:line="480" w:before="0" w:after="120"/>
        <w:ind w:firstLine="1440" w:end="0"/>
        <w:rPr/>
      </w:pPr>
      <w:r>
        <w:rPr/>
        <w:t xml:space="preserve">For example, the Power Company of America, which has been in bankruptcy since August 1998, has filed appeals challenging the actions of many power sellers that—upon PCA's failure to provide adequate assurances that it would be able to pay for power—terminated short-term, unfiled agreements, or otherwise declined to deliver power.  However, companies that had agreements with PCA that were required to be on file were not free to terminate the agreements absent FERC authorization.  </w:t>
      </w:r>
      <w:r>
        <w:rPr>
          <w:i/>
        </w:rPr>
        <w:t>See Virginia Elec. Power Co.</w:t>
      </w:r>
      <w:r>
        <w:rPr/>
        <w:t xml:space="preserve">, 84 FERC ¶ 61,254 (1998) (accepting Notice of Cancellation of umbrella service agreement with PCA effective 60 days from date of filing).  </w:t>
      </w:r>
      <w:r>
        <w:rPr>
          <w:b/>
        </w:rPr>
        <w:t xml:space="preserve">[CITE TO UCC FURTHER ASSURANCES PROVISION.]  </w:t>
      </w:r>
      <w:r>
        <w:rPr/>
        <w:t>This risk severely undermines the goal of creating a fully competitive marketplace because FERC has overridden the ability of market participants to freely negotiate one of the most important provisions of a long-term power purchase agreement:  its termination provision.</w:t>
      </w:r>
    </w:p>
    <w:p>
      <w:pPr>
        <w:pStyle w:val="Normal"/>
        <w:spacing w:lineRule="auto" w:line="480"/>
        <w:rPr/>
      </w:pPr>
      <w:r>
        <w:rPr>
          <w:b/>
        </w:rPr>
        <w:tab/>
        <w:tab/>
        <w:t xml:space="preserve">[AN AFFIDAVIT IS BEING PREPARED TO REFLECT THE FOLLOWING, WHICH MAY BE SHORTENED AND RELY ON CROSS-REFERENCE TO THE AFFIDAVIT.]  </w:t>
      </w:r>
      <w:r>
        <w:rPr/>
        <w:t>The requirement to file long-term agreements which are subject to FERC's cancellation requirements will also defeat one of the very sophisticated forms of accounting and risk management that has emerged in the wholesale electric marketplace in the last few years to ensure liquidity, and reduce credit risk.</w:t>
      </w:r>
      <w:r>
        <w:rPr>
          <w:rStyle w:val="FootnoteCharacters"/>
          <w:rStyle w:val="FootnoteReference"/>
        </w:rPr>
        <w:footnoteReference w:id="2"/>
      </w:r>
      <w:r>
        <w:rPr/>
        <w:t xml:space="preserve">  The practice—which has been commonly employed in other competitive commodities markets for some time—involves "netting out" sale and purchase transactions with a particular counterparty based upon realtime market and counterparty credit conditions for purposes of determining whether proposed transactions are within credit risk parameters as of that point in time.  As shown in the examples below, "netting out" often results in a determination that credit risk with respect to a particular counterparty is much lower on an aggregate basis than if a single transaction were viewed in isolation.  This in turn allows many more transactions between parties than otherwise would be possible (without collateral), which enhances market liquidity and hence benefits competition.  If these techniques cannot efficiently be used, purchasers would have to provide greater security (at greater cost to them) or fewer transactions would occur.  The natural gas market has long and successfully employed similar contractual terms and conditions to those described herein without any impact on the reliability of the natural gas supply.</w:t>
      </w:r>
    </w:p>
    <w:p>
      <w:pPr>
        <w:pStyle w:val="Normal"/>
        <w:spacing w:lineRule="auto" w:line="480"/>
        <w:ind w:firstLine="1440" w:end="0"/>
        <w:rPr/>
      </w:pPr>
      <w:r>
        <w:rPr/>
        <w:t>There are two types of credit risk that are evaluated in the "netting out" process:</w:t>
      </w:r>
    </w:p>
    <w:p>
      <w:pPr>
        <w:pStyle w:val="Normal"/>
        <w:spacing w:lineRule="auto" w:line="480"/>
        <w:ind w:firstLine="1440" w:end="0"/>
        <w:rPr/>
      </w:pPr>
      <w:r>
        <w:rPr>
          <w:u w:val="single"/>
        </w:rPr>
        <w:t>Settlement Risk</w:t>
      </w:r>
      <w:r>
        <w:rPr/>
        <w:t xml:space="preserve"> represents the amount that a power seller expects a purchaser to pay for power over the next  two-month period.  Settlement Risk is essentially the risk associated with a backward-looking billing cycle.  Typically, a power purchaser is billed on a monthly basis and has until close to the end of the following month to pay its bill.  Thus, in a long-term transaction, payment for power delivered in June would fall due near the end of July.  Thus, if the purchaser defaulted on its June payment obligation, it would do so when the bill for June came due near the end of July, and hence power would have been delivered for much of July, as well.  Thus, industry practice is to calculate Settlement Risk as nonpayment over a two-month period.</w:t>
      </w:r>
    </w:p>
    <w:p>
      <w:pPr>
        <w:pStyle w:val="Normal"/>
        <w:spacing w:lineRule="auto" w:line="480"/>
        <w:ind w:firstLine="1440" w:end="0"/>
        <w:rPr/>
      </w:pPr>
      <w:r>
        <w:rPr>
          <w:u w:val="single"/>
        </w:rPr>
        <w:t>Mark-to-Market Risk</w:t>
      </w:r>
      <w:r>
        <w:rPr/>
        <w:t xml:space="preserve"> represents the market risk that a Seller or Purchaser would be exposed to in the event that the Counterparty defaults.  Mark-to-Market risk is quantified, in essence, as the forward looking amount that the non-defaulting party stands to lose over the remainder of the contract term if it is forced to mitigate at market price for counterparty default.</w:t>
      </w:r>
      <w:r>
        <w:rPr>
          <w:rStyle w:val="FootnoteCharacters"/>
          <w:rStyle w:val="FootnoteReference"/>
        </w:rPr>
        <w:footnoteReference w:id="3"/>
      </w:r>
    </w:p>
    <w:p>
      <w:pPr>
        <w:pStyle w:val="Normal"/>
        <w:spacing w:lineRule="auto" w:line="480"/>
        <w:ind w:firstLine="1440" w:end="0"/>
        <w:rPr/>
      </w:pPr>
      <w:r>
        <w:rPr/>
        <w:t>The requirement to file contracts—and the attendant requirement of receiving Commission approval for cancellation—would affect the calculation of both Settlement Risk and Mark-to-Market Risk.  Below, we provide examples of the effect the new filing/cancellation requirement would have on two transactions involving a single pair of market participants, identified as "Party A" and "Party B."  We discuss the examples first in the pre-</w:t>
      </w:r>
      <w:r>
        <w:rPr>
          <w:i/>
        </w:rPr>
        <w:t>Southern Companies</w:t>
      </w:r>
      <w:r>
        <w:rPr/>
        <w:t xml:space="preserve"> context where long-term contracts were terminable in accordance with contract terms, and second in the post-</w:t>
      </w:r>
      <w:r>
        <w:rPr>
          <w:i/>
        </w:rPr>
        <w:t>Southern Companies</w:t>
      </w:r>
      <w:r>
        <w:rPr/>
        <w:t xml:space="preserve"> world where (assuming that the Commission chooses not to revisit its order) long-term contracts will be subject to Notice of Cancellation requirements.</w:t>
      </w:r>
    </w:p>
    <w:p>
      <w:pPr>
        <w:pStyle w:val="Normal"/>
        <w:keepNext w:val="true"/>
        <w:keepLines/>
        <w:ind w:hanging="432" w:start="1872" w:end="0"/>
        <w:rPr/>
      </w:pPr>
      <w:r>
        <w:rPr/>
        <w:t>1.</w:t>
        <w:tab/>
      </w:r>
      <w:r>
        <w:rPr>
          <w:i/>
        </w:rPr>
        <w:t xml:space="preserve">Example 1:  Evaluation of Mark to Market Risk </w:t>
      </w:r>
    </w:p>
    <w:p>
      <w:pPr>
        <w:pStyle w:val="Normal"/>
        <w:keepNext w:val="true"/>
        <w:keepLines/>
        <w:rPr>
          <w:i/>
          <w:i/>
        </w:rPr>
      </w:pPr>
      <w:r>
        <w:rPr>
          <w:i/>
        </w:rPr>
      </w:r>
    </w:p>
    <w:p>
      <w:pPr>
        <w:pStyle w:val="Normal"/>
        <w:keepNext w:val="true"/>
        <w:keepLines/>
        <w:spacing w:lineRule="auto" w:line="480"/>
        <w:ind w:firstLine="1440" w:end="0"/>
        <w:rPr/>
      </w:pPr>
      <w:r>
        <w:rPr/>
        <w:t>Party A and Party B have entered into two transactions with each other.  In Transaction 1, Party A is the seller and Party B is the purchaser.  In Transaction 2, the roles are reversed.</w:t>
      </w:r>
    </w:p>
    <w:p>
      <w:pPr>
        <w:pStyle w:val="Normal"/>
        <w:spacing w:lineRule="auto" w:line="480"/>
        <w:ind w:firstLine="1440" w:end="0"/>
        <w:rPr/>
      </w:pPr>
      <w:r>
        <w:rPr>
          <w:u w:val="single"/>
        </w:rPr>
        <w:t>Transaction #1:</w:t>
      </w:r>
      <w:r>
        <w:rPr/>
        <w:t xml:space="preserve">  Party A agrees to sell to Party B 38,600 MWh per month  for 13 months (from June 1, 1999 through July 2000) at $50/MWh.  As of July 1, 1999—one month into the transaction—the market price of power has fallen to $44/MWh, meaning that Party A is currently realizing a price on its sales to Party B that is $6/MWh higher than it would realize if Party B defaulted and Party A were forced to sell its power into the market.  Party A's Mark-to-Market Risk is the risk that Party B will default, depriving Party A, in essence, of the difference between the contract price and the market price over the remaining twelve months of the agreement.  Party A would quantify its Mark-To-Market Risk as follows:</w:t>
      </w:r>
    </w:p>
    <w:p>
      <w:pPr>
        <w:pStyle w:val="Normal"/>
        <w:spacing w:lineRule="auto" w:line="480"/>
        <w:rPr/>
      </w:pPr>
      <w:r>
        <w:rPr/>
        <w:tab/>
        <w:t xml:space="preserve">$6/MWh cost to mitigate * 38,600 MWh per month * 12 Months remaining </w:t>
      </w:r>
    </w:p>
    <w:p>
      <w:pPr>
        <w:pStyle w:val="Normal"/>
        <w:spacing w:lineRule="auto" w:line="480"/>
        <w:rPr/>
      </w:pPr>
      <w:r>
        <w:rPr/>
        <w:tab/>
        <w:t>= about $2.78 million Mark-to-Market risk for Party A in Transaction 1.</w:t>
      </w:r>
    </w:p>
    <w:p>
      <w:pPr>
        <w:pStyle w:val="Normal"/>
        <w:spacing w:lineRule="auto" w:line="480"/>
        <w:ind w:firstLine="1440" w:end="0"/>
        <w:rPr/>
      </w:pPr>
      <w:r>
        <w:rPr>
          <w:u w:val="single"/>
        </w:rPr>
        <w:t>Transaction #2:</w:t>
      </w:r>
      <w:r>
        <w:rPr/>
        <w:t xml:space="preserve">  Party A has purchased several blocks of power at different prices from Party B going forward six months.  Using the same formula as discussed above, Party B's Mark-to-Market risk for Transaction #2 is calculated to be $2 million.</w:t>
      </w:r>
    </w:p>
    <w:p>
      <w:pPr>
        <w:pStyle w:val="Normal"/>
        <w:spacing w:lineRule="auto" w:line="480"/>
        <w:ind w:firstLine="1440" w:end="0"/>
        <w:rPr/>
      </w:pPr>
      <w:r>
        <w:rPr>
          <w:u w:val="single"/>
        </w:rPr>
        <w:t>Netting Out of Mark-To-Market Risk For Transactions 1 and 2.</w:t>
      </w:r>
      <w:r>
        <w:rPr/>
        <w:t xml:space="preserve">  In this scenario, the parties would be able to net out their Mark-to-Market risks with one another.  In this case, this is accomplished by subtracting Party B's $2 million Mark-To-Market Risk from Party A's $2.78 million Mark-to-Market risk, for a net risk to Party A of $0.78 million.  Thus, through use of this method of accounting, only $0.78 million (rather than $2.78 million) would count against the credit limit that Party A was willing to extend to Party B, and nothing (rather than $2</w:t>
      </w:r>
      <w:r>
        <w:rPr>
          <w:b/>
        </w:rPr>
        <w:t xml:space="preserve"> </w:t>
      </w:r>
      <w:r>
        <w:rPr/>
        <w:t>million) would count against the credit limit that Party B was willing to extend to Party A.</w:t>
      </w:r>
    </w:p>
    <w:p>
      <w:pPr>
        <w:pStyle w:val="Normal"/>
        <w:spacing w:lineRule="auto" w:line="480"/>
        <w:ind w:firstLine="1440" w:end="0"/>
        <w:rPr/>
      </w:pPr>
      <w:r>
        <w:rPr/>
        <w:t>Netting Out is possible under this scenario because under the contract or contracts that the parties have negotiated with each other, Party A and Party B have provided for termination on short notice (</w:t>
      </w:r>
      <w:r>
        <w:rPr>
          <w:i/>
        </w:rPr>
        <w:t>e.g.</w:t>
      </w:r>
      <w:r>
        <w:rPr/>
        <w:t xml:space="preserve">, one or two days) upon the other party's default or failure to provide adequate assurances.  The ability to terminate on short notice would allow the non-defaulting party to promptly liquidate (monetize, as of the time of default, the net forward payment obligation) consistent with the current Mark-to-Market valuation of the net positions of the parties, without waiting 60 days for regulatory approval, since neither transaction is required to be on file with the FERC.  </w:t>
      </w:r>
    </w:p>
    <w:p>
      <w:pPr>
        <w:pStyle w:val="Normal"/>
        <w:spacing w:lineRule="auto" w:line="480"/>
        <w:ind w:firstLine="1440" w:end="0"/>
        <w:rPr/>
      </w:pPr>
      <w:r>
        <w:rPr>
          <w:u w:val="single"/>
        </w:rPr>
        <w:t>Contracts That Cannot Be Terminated And Liquidated On The Same Terms Cannot Quickly Cannot Be Netted Out Against Each Other.</w:t>
      </w:r>
      <w:r>
        <w:rPr/>
        <w:t xml:space="preserve">  Without the flexibility to quickly terminate a contract pursuant to its terms, Mark-to-Market risk can increase dramatically.  If the new </w:t>
      </w:r>
      <w:r>
        <w:rPr>
          <w:i/>
        </w:rPr>
        <w:t>Southern Companies</w:t>
      </w:r>
      <w:r>
        <w:rPr/>
        <w:t xml:space="preserve"> rule were in effect, then the agreement in Transaction 1, above, which has a term of 13 months, would be required to be filed at FERC, and would therefore be subject to Notice of Cancellation requirements and at least a 60 day (and perhaps longer) delaying termination if Party B defaults before the end of the 13-month term.  By contrast, Transaction 2, which is for a six month period, is not required to be filed with FERC and hence is subject to termination according to its terms.  Thus, unlike Transaction 1, Transaction 2 can be terminated and liquidated on short notice.  Therefore, the Mark-to-Market Risk of Transaction 1 may be subject to increase over an indefinite period </w:t>
      </w:r>
      <w:r>
        <w:rPr>
          <w:i/>
        </w:rPr>
        <w:t xml:space="preserve">after </w:t>
      </w:r>
      <w:r>
        <w:rPr/>
        <w:t xml:space="preserve">default while the Commission considers the Notice of Cancellation, while the Mark-to-Market Risk of Transaction 2 is effectively known at the time of default.  </w:t>
      </w:r>
    </w:p>
    <w:p>
      <w:pPr>
        <w:pStyle w:val="Normal"/>
        <w:spacing w:lineRule="auto" w:line="480"/>
        <w:ind w:firstLine="1440" w:end="0"/>
        <w:rPr/>
      </w:pPr>
      <w:r>
        <w:rPr/>
        <w:t>For example, if Party B in this example defaulted on July 1, Party A's Mark-to-Market Risk would not be fixed on the date of default because Party A will not be in a position to terminate and liquidate until the termination is authorized by FERC.  The price of power on July 1 is $44/MWh, or $6/MWh less than the $50/MWh contract price with Party B, meaning that if Party A could revalue its position to the then current market price (by reference to prevailing prices or by making a mitigating substitute sales transaction ) that day, it would expect to include a mark-to-market damages of $6/MWh which, but for Party B’s default, it would have received by virtue of Party B’s performance.  However, because of the Notice of Cancellation requirement, Party A cannot revalue its position (through market measure or mitigating sale) as of that day.  Accordingly, the overall exposures cannot be netted out and Party A would be deprived of the ability to mitigate its exposure to Party B by liquidating at the time of the default and only being exposed for the net risk as of that time.  Instead, Party A will remain exposed to Party B’s credit risk while being required to perform with no assurance of payment for either electricity delivered or the liquidation value of the forward contract beyond the time Party A can actually terminate and liquidate.</w:t>
      </w:r>
    </w:p>
    <w:p>
      <w:pPr>
        <w:pStyle w:val="BodyTextIndent3"/>
        <w:rPr/>
      </w:pPr>
      <w:r>
        <w:rPr/>
        <w:t xml:space="preserve">Suppose further that FERC accepted the Notice of Cancellation effective as of September 1, 1999—60 days later—and that the market price for power had dropped to $38/MWh in that time.  If Party A revalued its 38,600 MWh/month by making a sale to a new counterparty for $38/MWh or utilizing that market price to value  the remaining 10 months of the contract, its Mark-to-Market damages for Party B’s default would be $12/MWh, instead of the $6/MWh that existed at the time of default.  Thus, in addition to deterioration in counterparty credit (and potentially bankruptcy) during the lapse of time, Party A was exposed to significant market risk which is unknowable at the time of default.  The point of this is that, where a significant amount of time will lapse between default and termination, the Mark-to-Market Risk at the time of default is unknowable.  </w:t>
      </w:r>
    </w:p>
    <w:p>
      <w:pPr>
        <w:pStyle w:val="Normal"/>
        <w:spacing w:lineRule="auto" w:line="480"/>
        <w:ind w:firstLine="1440" w:end="0"/>
        <w:rPr/>
      </w:pPr>
      <w:r>
        <w:rPr/>
        <w:t>Because the actual Mark-to-Market Risk is unknowable in a transaction such as Transaction 1 that cannot be terminated and liquidated on short notice, that Risk cannot be "netted out" against a Mark-to-Market Risk that is knowable, such as that for Transaction 2.  The result is that, in example 1, instead of having a netted-out $0.78 million counted against the credit limit extended by Party A to Party B, and nothing counted against the credit limit extended by Party B to Party A, $2.78 million would be counted against Party A's credit limit for Party B, and $2 million would be counted against Party B's limit for Party A.</w:t>
      </w:r>
    </w:p>
    <w:p>
      <w:pPr>
        <w:pStyle w:val="Normal"/>
        <w:spacing w:lineRule="auto" w:line="480"/>
        <w:ind w:firstLine="1440" w:end="0"/>
        <w:rPr/>
      </w:pPr>
      <w:r>
        <w:rPr>
          <w:u w:val="single"/>
        </w:rPr>
        <w:t>Impact on Market.</w:t>
      </w:r>
      <w:r>
        <w:rPr/>
        <w:t xml:space="preserve">  If parties are subjected to the filing requirements set forth in the Order, they will be unable to actively manage their credit risk due to the uncertainty related to the timing (at least 60 days) and the outcome of a FERC decision on a Notice of Cancellation request.  The inability to net Mark-to-Market Risk for long-term transactions required to be on file at FERC coupled with a requirement to perform to a defaulting counterparty for at least 60 days would severely impact credit relationships by limiting the amount of trading that can be done between parties before credit limits are reached.  This in turn would increase the need for margining and the provision of collateral such as letters of credit or guarantees of obligations by a parent with a favorable rating.</w:t>
      </w:r>
      <w:r>
        <w:rPr>
          <w:rStyle w:val="FootnoteCharacters"/>
          <w:rStyle w:val="FootnoteReference"/>
        </w:rPr>
        <w:footnoteReference w:id="4"/>
      </w:r>
      <w:r>
        <w:rPr/>
        <w:t xml:space="preserve">  Because the availability of such collateralization is limited, the number of transactions entered into between risk-conscious market-participants would decrease significantly, reducing market liquidity.  Moreover, the increased cost of collateralization would necessarily become a cost of buying and selling power, and hence would be a cost that ultimately would be passed on to consumers.  Both of these factors would undermine competitive pressures to drive prices down, harming the consumers who stand to benefit from robust competition.</w:t>
      </w:r>
      <w:r>
        <w:rPr>
          <w:rStyle w:val="FootnoteCharacters"/>
          <w:rStyle w:val="FootnoteReference"/>
        </w:rPr>
        <w:footnoteReference w:id="5"/>
      </w:r>
      <w:r>
        <w:rPr/>
        <w:t xml:space="preserve">  Such a requirement also would be harmful to smaller market participants who play an important niche role in the market due to their limited ability to provide the required collateral.  Such entities would face significant obstacles in finding trading partners if a requirement for collateral were to replace netting of transactions as a means of guarding against credit risk or such parties were required to continue to perform to parties that were in default.</w:t>
      </w:r>
      <w:r>
        <w:rPr>
          <w:rStyle w:val="FootnoteCharacters"/>
        </w:rPr>
        <w:t xml:space="preserve"> </w:t>
      </w:r>
      <w:r>
        <w:rPr>
          <w:rStyle w:val="FootnoteCharacters"/>
          <w:rStyle w:val="FootnoteReference"/>
        </w:rPr>
        <w:footnoteReference w:id="6"/>
      </w:r>
    </w:p>
    <w:p>
      <w:pPr>
        <w:pStyle w:val="Normal"/>
        <w:keepNext w:val="true"/>
        <w:keepLines/>
        <w:spacing w:lineRule="auto" w:line="480" w:before="240" w:after="0"/>
        <w:ind w:firstLine="1440" w:end="0"/>
        <w:rPr/>
      </w:pPr>
      <w:r>
        <w:rPr/>
        <w:t>2.</w:t>
        <w:tab/>
      </w:r>
      <w:r>
        <w:rPr>
          <w:i/>
        </w:rPr>
        <w:t>Example 2:  Evaluation of Settlement Risk</w:t>
      </w:r>
    </w:p>
    <w:p>
      <w:pPr>
        <w:pStyle w:val="Normal"/>
        <w:keepNext w:val="true"/>
        <w:keepLines/>
        <w:spacing w:lineRule="auto" w:line="480"/>
        <w:ind w:firstLine="1440" w:end="0"/>
        <w:rPr/>
      </w:pPr>
      <w:r>
        <w:rPr>
          <w:u w:val="single"/>
        </w:rPr>
        <w:t>Transaction 1:</w:t>
      </w:r>
      <w:r>
        <w:rPr/>
        <w:t xml:space="preserve">  The Settlement Risk of Transaction 1 for Party A is the risk of non-payment by Party B over a two-month period.  It is calculated as:</w:t>
      </w:r>
    </w:p>
    <w:p>
      <w:pPr>
        <w:pStyle w:val="BodyTextIndent2"/>
        <w:spacing w:lineRule="auto" w:line="480"/>
        <w:rPr>
          <w:sz w:val="24"/>
        </w:rPr>
      </w:pPr>
      <w:r>
        <w:rPr>
          <w:sz w:val="24"/>
        </w:rPr>
        <w:t>$50 per MWh per month * 2 months * 38,600 MWh per month = $3.86 million.</w:t>
      </w:r>
    </w:p>
    <w:p>
      <w:pPr>
        <w:pStyle w:val="Normal"/>
        <w:spacing w:lineRule="auto" w:line="480"/>
        <w:ind w:firstLine="1440" w:end="0"/>
        <w:rPr/>
      </w:pPr>
      <w:r>
        <w:rPr>
          <w:u w:val="single"/>
        </w:rPr>
        <w:t>Transaction 2:</w:t>
      </w:r>
      <w:r>
        <w:rPr/>
        <w:t xml:space="preserve">  Assume that the Settlement Risk for Transaction 2, calculated in the same manner, is $1 million.</w:t>
      </w:r>
    </w:p>
    <w:p>
      <w:pPr>
        <w:pStyle w:val="Normal"/>
        <w:spacing w:lineRule="auto" w:line="480"/>
        <w:ind w:firstLine="1440" w:end="0"/>
        <w:rPr/>
      </w:pPr>
      <w:r>
        <w:rPr>
          <w:u w:val="single"/>
        </w:rPr>
        <w:t>Net Settlement Risk:</w:t>
      </w:r>
      <w:r>
        <w:rPr/>
        <w:t xml:space="preserve">  The net Settlement Risk for Party A is $2.86 million ($3.86 million minus $1 million).  </w:t>
      </w:r>
    </w:p>
    <w:p>
      <w:pPr>
        <w:pStyle w:val="Normal"/>
        <w:spacing w:lineRule="auto" w:line="480"/>
        <w:ind w:firstLine="1440" w:end="0"/>
        <w:rPr/>
      </w:pPr>
      <w:r>
        <w:rPr>
          <w:u w:val="single"/>
        </w:rPr>
        <w:t>Overall Net Credit Risk:</w:t>
      </w:r>
      <w:r>
        <w:rPr/>
        <w:t xml:space="preserve">  The overall net credit risk is the combination of the net Mark-to-Market risk and the net Settlement Risk.  For Transactions 1 and 2, the overall net credit risk to Party A is $5.64 million.  </w:t>
      </w:r>
    </w:p>
    <w:p>
      <w:pPr>
        <w:pStyle w:val="BodyTextIndent3"/>
        <w:rPr/>
      </w:pPr>
      <w:r>
        <w:rPr>
          <w:u w:val="single"/>
        </w:rPr>
        <w:t>Effect of Contract That Cannot Be Terminated And Liquidated Quickly Upon Default</w:t>
      </w:r>
      <w:r>
        <w:rPr/>
        <w:t>.  As with Mark-to-Market Risk, the effect on Settlement Risk of requiring the filing of long-term agreements, and hence subjecting them to cancellation requirements, is unknowable.  At a minimum, adding the sixty day cancellation period onto the two-months of non-payment already assumed for Settlement Risk will have the result of doubling the Settlement Risk (because the period of risk would be four months instead of two).  Thus, Settlement Risk associated with a contract required to be on file with FERC could not be netted out against other contracts, with the results in terms of credit risk, reduced market liquidity, and harm to competition described above.</w:t>
      </w:r>
    </w:p>
    <w:p>
      <w:pPr>
        <w:pStyle w:val="Normal"/>
        <w:spacing w:lineRule="auto" w:line="480"/>
        <w:ind w:firstLine="1440" w:end="0"/>
        <w:rPr/>
      </w:pPr>
      <w:r>
        <w:rPr/>
        <w:t>3.</w:t>
        <w:tab/>
      </w:r>
      <w:r>
        <w:rPr>
          <w:i/>
        </w:rPr>
        <w:t>Level Playing Field</w:t>
      </w:r>
    </w:p>
    <w:p>
      <w:pPr>
        <w:pStyle w:val="Normal"/>
        <w:spacing w:lineRule="auto" w:line="480"/>
        <w:ind w:firstLine="1440" w:end="0"/>
        <w:rPr/>
      </w:pPr>
      <w:r>
        <w:rPr/>
        <w:t>One of the key impacts of the pre-</w:t>
      </w:r>
      <w:r>
        <w:rPr>
          <w:i/>
        </w:rPr>
        <w:t>Southern Companies</w:t>
      </w:r>
      <w:r>
        <w:rPr/>
        <w:t xml:space="preserve"> distinction in filing requirements was that utilities subject to the requirement to file long-term contracts were unable to engage in the netting-out procedure for management of credit risk with respect to long-term agreements.  Eliminating the filing requirements will benefit not only such utilities, but also their potential counterparties who would like to carry out a higher volume of trade with such utilities.  In short, by sticking with the "level playing field" principle, but applying it instead to eliminate filing requirements for all market-based contracts entered into by all market participants, the Commission will </w:t>
      </w:r>
      <w:r>
        <w:rPr>
          <w:i/>
        </w:rPr>
        <w:t>increase</w:t>
      </w:r>
      <w:r>
        <w:rPr/>
        <w:t xml:space="preserve"> consumer welfare through more robust competition.</w:t>
      </w:r>
    </w:p>
    <w:p>
      <w:pPr>
        <w:pStyle w:val="Normal"/>
        <w:spacing w:before="0" w:after="240"/>
        <w:ind w:hanging="720" w:start="1440" w:end="0"/>
        <w:rPr/>
      </w:pPr>
      <w:r>
        <w:rPr/>
        <w:t>B.</w:t>
        <w:tab/>
        <w:t>The Order Will Have A Chilling Effect On Innovation And Willingness To Enter Into Long-Term Transactions and Could Facilitate Anticompetitive Coordination</w:t>
      </w:r>
    </w:p>
    <w:p>
      <w:pPr>
        <w:pStyle w:val="Normal"/>
        <w:spacing w:lineRule="auto" w:line="480"/>
        <w:ind w:firstLine="1440" w:end="0"/>
        <w:rPr/>
      </w:pPr>
      <w:r>
        <w:rPr/>
        <w:t>As discussed in the attached affidavit of Dr. Howard Pifer (</w:t>
      </w:r>
      <w:r>
        <w:rPr>
          <w:b/>
        </w:rPr>
        <w:t>Attachment __</w:t>
      </w:r>
      <w:r>
        <w:rPr/>
        <w:t xml:space="preserve">), long-term agreements tend to be "custom made" because they must accommodate unique and complex risk-sharing arrangements between the contracting parties.  The Commission has declined to grant confidential treatment to contracts filed in compliance with Section 205 of the FPA.  </w:t>
      </w:r>
      <w:r>
        <w:rPr>
          <w:i/>
        </w:rPr>
        <w:t>ESI Vansycle Partners</w:t>
      </w:r>
      <w:r>
        <w:rPr/>
        <w:t xml:space="preserve">, 83 FERC ¶ 61,254 at 62,075 (1998).  Hence, filing of long-term contracts would lead to disclosure of confidential data and innovative contractual mechanisms.  As explained by Dr. Pifer, disclosure of such information will chill innovation, and is anathema to competitive markets.  Generally speaking, a public disclosure requirement would have several harmful effects from an economic standpoint over and above the harm due to the Notice of Cancellation requirement discussed above.  The following discussion draws upon the attached Affidavit of Dr. Pifer </w:t>
      </w:r>
      <w:r>
        <w:rPr>
          <w:b/>
        </w:rPr>
        <w:t>[revise to reflect changes to affidavit]</w:t>
      </w:r>
      <w:r>
        <w:rPr/>
        <w:t>.</w:t>
      </w:r>
    </w:p>
    <w:p>
      <w:pPr>
        <w:pStyle w:val="BodyText"/>
        <w:spacing w:lineRule="auto" w:line="480"/>
        <w:jc w:val="start"/>
        <w:rPr/>
      </w:pPr>
      <w:r>
        <w:rPr>
          <w:sz w:val="24"/>
        </w:rPr>
        <w:tab/>
        <w:tab/>
      </w:r>
      <w:r>
        <w:rPr>
          <w:sz w:val="24"/>
          <w:u w:val="single"/>
        </w:rPr>
        <w:t>Stifling Innovation.</w:t>
      </w:r>
      <w:r>
        <w:rPr>
          <w:sz w:val="24"/>
        </w:rPr>
        <w:t xml:space="preserve">  As Dr. Pifer explains, compulsory disclosure is likely to stifle innovation unnecessarily in risk-sharing arrangements in wholesale power markets.  The use by individuals of complex contracts providing for risk management options over periods longer than or different from those now traded on futures or other markets may be a way to test the viability or usefulness of new financial or non-financial innovations.  Forced publication of the terms and conditions may well reduce the value of this experimental process to innovators by permitting others to have free access to this intellectual property.</w:t>
      </w:r>
    </w:p>
    <w:p>
      <w:pPr>
        <w:pStyle w:val="BodyText"/>
        <w:spacing w:lineRule="auto" w:line="480"/>
        <w:jc w:val="start"/>
        <w:rPr>
          <w:sz w:val="24"/>
        </w:rPr>
      </w:pPr>
      <w:r>
        <w:rPr>
          <w:sz w:val="24"/>
        </w:rPr>
        <w:tab/>
        <w:tab/>
        <w:t xml:space="preserve">The complex contracts buyers and sellers of wholesale power negotiate provide for a bundle of services, often services tailored to specific transacting party needs.  These contracts are far more than just plain vanilla electric power.  In a real sense, these contracts and the innovations they include reflect an information gathering exercise quite like any other form of innovative activity.  As markets around the world have shifted toward competition from centralized regulatory frameworks, the ability to manage risks of all types cannot be stressed enough.  As with other commodities, some of this risk management, particularly as regards market risk, will occur through complex market-based hedging strategies involving the use of complex securities, including long-term contracts.   For example, many power marketers use long-term contracts to manage the risks associated with the great day-to-day volatility in spot markets for wholesale power.  The search for improved, more efficient bilateral risk-sharing schemes would be impeded by a public disclosure requirement.  Indeed, the inability to manage short-term volatility through long-term contracts, may, in and of itself, result in even greater long-term and short-term volatility. </w:t>
      </w:r>
    </w:p>
    <w:p>
      <w:pPr>
        <w:pStyle w:val="BodyText"/>
        <w:spacing w:lineRule="auto" w:line="480"/>
        <w:ind w:firstLine="1440" w:end="0"/>
        <w:jc w:val="start"/>
        <w:rPr>
          <w:b/>
          <w:i/>
          <w:i/>
          <w:sz w:val="24"/>
        </w:rPr>
      </w:pPr>
      <w:r>
        <w:rPr>
          <w:sz w:val="24"/>
        </w:rPr>
        <w:t xml:space="preserve">The terms and conditions in long-term contracts necessary often are quite complex in order to address a wide variety of problems arising from counter-party risk issues relating to asset specificity, ex-post contracting transaction costs, and uncertainty.  Such contracting is often a more efficient alternative to ownership through vertical integration.  If the cost of “integration by contract” becomes more costly to use, then at some point firms may shift to other available, possibly less efficient, substitutes, including direct ownership. </w:t>
      </w:r>
    </w:p>
    <w:p>
      <w:pPr>
        <w:pStyle w:val="BodyText"/>
        <w:spacing w:lineRule="auto" w:line="480"/>
        <w:ind w:firstLine="1440" w:end="0"/>
        <w:jc w:val="start"/>
        <w:rPr>
          <w:sz w:val="24"/>
        </w:rPr>
      </w:pPr>
      <w:r>
        <w:rPr>
          <w:sz w:val="24"/>
        </w:rPr>
        <w:t>Dr. Pifer provides an example of a problem arising in a long-term contracting context, namely how to ensure that a power supply is firm.  The traditional reliance on system power is not available to many new entrants, who must find creative solutions to the buyer's demand for backup power at a reasonable price.  A marketer that incorporates such assurances into the contract may not want its approach to the firmness issue revealed, especially to incumbent utilities that may retain the advantage of being able to sell system power.  The contract may address whether it is the buyer or the seller who is to be responsible for the backup power in case of a contingency, and additionally where the power would be purchased and at what price.  Such matters involve tradeoffs between the ease of the seller's and buyer's ability to perform under adverse conditions.</w:t>
      </w:r>
      <w:r>
        <w:rPr>
          <w:rStyle w:val="FootnoteCharacters"/>
          <w:rStyle w:val="FootnoteReference"/>
          <w:sz w:val="24"/>
        </w:rPr>
        <w:footnoteReference w:id="7"/>
      </w:r>
    </w:p>
    <w:p>
      <w:pPr>
        <w:pStyle w:val="Normal"/>
        <w:spacing w:lineRule="auto" w:line="480"/>
        <w:rPr/>
      </w:pPr>
      <w:r>
        <w:rPr/>
        <w:tab/>
        <w:tab/>
      </w:r>
      <w:r>
        <w:rPr>
          <w:u w:val="single"/>
        </w:rPr>
        <w:t>Undermining Economic Efficiency In The Marketplace.</w:t>
      </w:r>
      <w:r>
        <w:rPr/>
        <w:t xml:space="preserve">  The public interest in preventing undue price discrimination will be best served in an industry where market power is not concentrated, such as the electric industry, by allowing long-term contracts to remain private.</w:t>
      </w:r>
      <w:r>
        <w:rPr>
          <w:rStyle w:val="FootnoteCharacters"/>
          <w:rStyle w:val="FootnoteReference"/>
        </w:rPr>
        <w:footnoteReference w:id="8"/>
      </w:r>
      <w:r>
        <w:rPr/>
        <w:t xml:space="preserve">  Competitive industries are better served by allowing </w:t>
      </w:r>
      <w:r>
        <w:rPr>
          <w:u w:val="single"/>
        </w:rPr>
        <w:t>appropriate</w:t>
      </w:r>
      <w:r>
        <w:rPr/>
        <w:t xml:space="preserve"> economic discrimination that reflects real world differences in terms of risk, reliability, etc. </w:t>
      </w:r>
    </w:p>
    <w:p>
      <w:pPr>
        <w:pStyle w:val="Normal"/>
        <w:spacing w:lineRule="auto" w:line="480"/>
        <w:ind w:firstLine="1440" w:end="0"/>
        <w:rPr/>
      </w:pPr>
      <w:r>
        <w:rPr/>
        <w:t>Not only is contract disclosure currently not needed in order to protect against undue price discrimination, such a policy would risk the elimination of economic distinctions that promote economic efficiency in the marketplace.  The risk profile of the supplier and its buyer (including risk of default, willingness to be interrupted, reliability of supply, and willingness to accept financial risk) may be such that a high price is warranted in some circumstances and a low price is warranted in others.  An artificial requirement to disclose such terms and conditions effectively would eliminate the market's ability to address such legitimate differences in contracting costs and would force uniformity where none should exist.  In effect, the most favorable terms and conditions offered to any buyer become the focal point for subsequent negotiations, backed possibly by the threat of suit if terms equivalent to the best terms offered any customer are not forthcoming.  Similarly, suppliers may be willing to experiment with different contract terms on a limited basis.  They may be quite unwilling to do so if they fear that making the experimental terms known will prejudice commercial relationships with firms to whom the experimental terms have not been offered, or where other customers will demand that the experimental terms be extended to them on a permanent basis.  Hence, contract terms remain relatively inflexible and otherwise dissimilar customers confront similar contract terms.</w:t>
      </w:r>
    </w:p>
    <w:p>
      <w:pPr>
        <w:pStyle w:val="Normal"/>
        <w:spacing w:lineRule="auto" w:line="480"/>
        <w:ind w:firstLine="1440" w:end="0"/>
        <w:rPr/>
      </w:pPr>
      <w:r>
        <w:rPr/>
        <w:t xml:space="preserve">The Commission has recognized the value of risk-taking in promoting efficient markets from the onset of the market-based rate era.  </w:t>
      </w:r>
      <w:r>
        <w:rPr>
          <w:i/>
        </w:rPr>
        <w:t>See Citizens Power &amp; Light Corp.</w:t>
      </w:r>
      <w:r>
        <w:rPr/>
        <w:t>, 48 FERC ¶ 61,210 (1989) ("</w:t>
      </w:r>
      <w:r>
        <w:rPr>
          <w:lang w:eastAsia="en-US"/>
        </w:rPr>
        <w:t>As a deal-maker and risk-taker, Citizens Power will encourage exchange efficiency in electric power markets that otherwise might not be attained.  There are many trade opportunities to lower production costs from existing generating resources. Citizens Power will focus on efficiency enhancing trades because it cannot survive unless it does." (Footnote omitted.)).  A reluctance to disclose risk-allocation mechanisms that in turn impairs the willingness of parties to take such risks will impair the very efficiencies the Commission has long sought to promote.</w:t>
      </w:r>
    </w:p>
    <w:p>
      <w:pPr>
        <w:pStyle w:val="BodyText"/>
        <w:spacing w:lineRule="auto" w:line="480"/>
        <w:jc w:val="start"/>
        <w:rPr/>
      </w:pPr>
      <w:r>
        <w:rPr>
          <w:sz w:val="24"/>
        </w:rPr>
        <w:tab/>
        <w:tab/>
      </w:r>
      <w:r>
        <w:rPr>
          <w:sz w:val="24"/>
          <w:u w:val="single"/>
        </w:rPr>
        <w:t>Increasing Prices to Purchasers.</w:t>
      </w:r>
      <w:r>
        <w:rPr>
          <w:sz w:val="24"/>
        </w:rPr>
        <w:t xml:space="preserve">  Compulsory contract disclosure is likely to harm consumers of wholesale power (including, ultimately, retail consumers).  Such a requirement could impede the evolution toward efficient competitive markets for wholesale power by reducing price competition among market participants. </w:t>
      </w:r>
    </w:p>
    <w:p>
      <w:pPr>
        <w:pStyle w:val="BodyText"/>
        <w:spacing w:lineRule="auto" w:line="480"/>
        <w:jc w:val="start"/>
        <w:rPr>
          <w:sz w:val="24"/>
        </w:rPr>
      </w:pPr>
      <w:r>
        <w:rPr>
          <w:sz w:val="24"/>
        </w:rPr>
        <w:tab/>
        <w:tab/>
        <w:t xml:space="preserve">For example, such disclosure may lead to or facilitate the use of de facto “most-favored-customer” or "most-favored-nation" (or "MFN") clauses in wholesale power contracts.  Such clauses, in turn, may incent market sellers to lessen the extent to which they engage in price competition, and thereby harm consumers.  For example, competitive sellers of wholesale power will be reluctant to agree to reduce their prices because any current concession to obtain or retain current business entails a concession elsewhere as well, tipping the balance against such price competition. </w:t>
      </w:r>
    </w:p>
    <w:p>
      <w:pPr>
        <w:pStyle w:val="BodyText"/>
        <w:spacing w:lineRule="auto" w:line="480"/>
        <w:jc w:val="start"/>
        <w:rPr>
          <w:sz w:val="24"/>
        </w:rPr>
      </w:pPr>
      <w:r>
        <w:rPr>
          <w:sz w:val="24"/>
        </w:rPr>
        <w:tab/>
        <w:tab/>
        <w:t>As Dr. Pifer points out, antitrust regulators and economists have criticized MFN-type clauses as potentially harmful to competition.  Dr. Pifer discusses the example of government-imposed MFN clauses in contracts to purchase Salk polio vaccine in the 1950s:</w:t>
      </w:r>
    </w:p>
    <w:p>
      <w:pPr>
        <w:pStyle w:val="BodyTextIndent"/>
        <w:ind w:hanging="0" w:start="1440" w:end="720"/>
        <w:jc w:val="start"/>
        <w:rPr>
          <w:sz w:val="24"/>
        </w:rPr>
      </w:pPr>
      <w:r>
        <w:rPr>
          <w:sz w:val="24"/>
        </w:rPr>
        <w:t>For any firm tempted to cut its price below the prevailing industry level knows its action cannot escape the attention of rivals, and therefore it must fear retaliation on the next round.  It will cut then only if the gain appears to outweigh this clear-cut risk.  In addition, sellers may be reluctant to cut prices below current levels in a sealed bid competition because other large buyers will find out and demand similar price reductions.</w:t>
      </w:r>
    </w:p>
    <w:p>
      <w:pPr>
        <w:pStyle w:val="BodyTextIndent"/>
        <w:ind w:hanging="0" w:end="0"/>
        <w:rPr>
          <w:sz w:val="24"/>
        </w:rPr>
      </w:pPr>
      <w:r>
        <w:rPr>
          <w:sz w:val="24"/>
        </w:rPr>
      </w:r>
    </w:p>
    <w:p>
      <w:pPr>
        <w:pStyle w:val="Normal"/>
        <w:spacing w:lineRule="auto" w:line="480"/>
        <w:rPr/>
      </w:pPr>
      <w:r>
        <w:rPr>
          <w:i/>
        </w:rPr>
        <w:t xml:space="preserve">Pifer Aff. </w:t>
      </w:r>
      <w:r>
        <w:rPr/>
        <w:t xml:space="preserve">at ___, </w:t>
      </w:r>
      <w:r>
        <w:rPr>
          <w:u w:val="single"/>
        </w:rPr>
        <w:t>quoting</w:t>
      </w:r>
      <w:r>
        <w:rPr/>
        <w:t xml:space="preserve"> F.M. Scherer, </w:t>
      </w:r>
      <w:r>
        <w:rPr>
          <w:i/>
        </w:rPr>
        <w:t>Industrial Market Structure and Economic Performance,</w:t>
      </w:r>
      <w:r>
        <w:rPr/>
        <w:t xml:space="preserve"> (Rand McNally, 1970): 210.  From this example, Dr. Pifer concludes that "if the Commission's compulsory disclosure of long-term contracts results in </w:t>
      </w:r>
      <w:r>
        <w:rPr>
          <w:i/>
        </w:rPr>
        <w:t>de facto</w:t>
      </w:r>
      <w:r>
        <w:rPr/>
        <w:t xml:space="preserve"> MFN clauses (or assists buyers in enforcing the MFNs already in place), then customers may well wind up paying higher prices for electricity.  Indeed, in markets with some degree of competitive imperfection, public disclosure of prices, demand or cost has been shown to result in higher, not lower, wholesale power prices."  </w:t>
      </w:r>
      <w:r>
        <w:rPr>
          <w:i/>
        </w:rPr>
        <w:t>Pifer Aff</w:t>
      </w:r>
      <w:r>
        <w:rPr/>
        <w:t xml:space="preserve"> at ___.</w:t>
      </w:r>
    </w:p>
    <w:p>
      <w:pPr>
        <w:pStyle w:val="Normal"/>
        <w:spacing w:lineRule="auto" w:line="480"/>
        <w:rPr/>
      </w:pPr>
      <w:r>
        <w:rPr/>
        <w:tab/>
        <w:tab/>
      </w:r>
      <w:r>
        <w:rPr>
          <w:b/>
          <w:u w:val="single"/>
        </w:rPr>
        <w:t>[Destabilizing the Long-Term Market.</w:t>
      </w:r>
      <w:r>
        <w:rPr>
          <w:b/>
        </w:rPr>
        <w:t>]  [TO BE ADDED BASED UPON PHB REVISIONS TO SECTION ON CANCELLATION REQUIREMENT].</w:t>
      </w:r>
    </w:p>
    <w:p>
      <w:pPr>
        <w:pStyle w:val="BodyText"/>
        <w:spacing w:lineRule="auto" w:line="480"/>
        <w:jc w:val="start"/>
        <w:rPr>
          <w:b/>
          <w:sz w:val="24"/>
        </w:rPr>
      </w:pPr>
      <w:r>
        <w:rPr>
          <w:sz w:val="24"/>
        </w:rPr>
        <w:tab/>
        <w:tab/>
      </w:r>
      <w:r>
        <w:rPr>
          <w:sz w:val="24"/>
          <w:u w:val="single"/>
        </w:rPr>
        <w:t>There Is No Offsetting Public Benefit That Warrants Filing Of Long-Term Contracts</w:t>
      </w:r>
      <w:r>
        <w:rPr>
          <w:sz w:val="24"/>
        </w:rPr>
        <w:t xml:space="preserve">. Filing of long-term contracts will not promote more efficient competition.  Given the relative ease of price discovery in wholesale power markets already, there is no basis for concluding that the wholesale power markets require greater transparency with respect to long-term risk-sharing arrangements. </w:t>
      </w:r>
    </w:p>
    <w:p>
      <w:pPr>
        <w:pStyle w:val="BodyText"/>
        <w:spacing w:lineRule="auto" w:line="480"/>
        <w:ind w:firstLine="1440" w:end="0"/>
        <w:jc w:val="start"/>
        <w:rPr>
          <w:i/>
          <w:i/>
          <w:sz w:val="24"/>
        </w:rPr>
      </w:pPr>
      <w:r>
        <w:rPr>
          <w:sz w:val="24"/>
        </w:rPr>
        <w:t xml:space="preserve">Significant amounts of information about electricity prices already exists and is available to all market participants.  The existence of futures markets and real-time (or same day) posted spot prices provide more than adequate  price-discovery.  There is no evidence that customers currently lack sufficient public information about standard electricity services to prevent efficient price-discovery. </w:t>
      </w:r>
    </w:p>
    <w:p>
      <w:pPr>
        <w:pStyle w:val="BodyText"/>
        <w:spacing w:lineRule="auto" w:line="480"/>
        <w:ind w:firstLine="1440" w:end="0"/>
        <w:jc w:val="start"/>
        <w:rPr>
          <w:i/>
          <w:i/>
          <w:sz w:val="24"/>
        </w:rPr>
      </w:pPr>
      <w:r>
        <w:rPr>
          <w:sz w:val="24"/>
        </w:rPr>
        <w:t>Power pools such as California, PJM, NYPP, and NEPOOL where transmission and dispatch are handled by ISOs frequently publish, in real time, hourly (or more frequent) spot prices available to all customers with pool access.  NYMEX trades futures contracts for a growing list of power pools or power marketers.</w:t>
      </w:r>
      <w:r>
        <w:rPr>
          <w:rStyle w:val="FootnoteCharacters"/>
          <w:rStyle w:val="FootnoteReference"/>
          <w:sz w:val="24"/>
        </w:rPr>
        <w:footnoteReference w:id="9"/>
      </w:r>
      <w:r>
        <w:rPr>
          <w:sz w:val="24"/>
        </w:rPr>
        <w:t xml:space="preserve">  The Chicago Board of Trade also offers electricity futures, including contracts for TVA, Commonwealth Edison and PJM electricity.  While futures and options contracts, together with regularly reported spot prices made available through the ISO price-determination/bidding process, provide information, they do so in large part because the “prices” and “quantities” being reported are tied to homogeneous products of the underlying basic service. </w:t>
      </w:r>
    </w:p>
    <w:p>
      <w:pPr>
        <w:pStyle w:val="Normal"/>
        <w:spacing w:lineRule="auto" w:line="480"/>
        <w:ind w:firstLine="1440" w:end="0"/>
        <w:rPr>
          <w:i/>
          <w:i/>
        </w:rPr>
      </w:pPr>
      <w:r>
        <w:rPr/>
        <w:t>Futures trading has all the features of a highly visible, competitive, continuous open auction.  Hence, market participants have access to transparent price information relative to homogenous power products, and lack only access to innovative provisions of particular contracts that provide a means of handling unique and complex risks in wholesale power markets, the disclosure of which would be harmful in all of the ways described above.</w:t>
      </w:r>
    </w:p>
    <w:p>
      <w:pPr>
        <w:pStyle w:val="Normal"/>
        <w:spacing w:lineRule="auto" w:line="480" w:before="0" w:after="120"/>
        <w:ind w:firstLine="1440" w:end="0"/>
        <w:rPr/>
      </w:pPr>
      <w:r>
        <w:rPr/>
        <w:t xml:space="preserve">Dr. Pifer points out that contracts are not generally required to be disclosed in other competitive industries in the United States or by sellers of electric power in other countries.  As discussed in more detail below, the overwhelming course of conduct in competitive industries in the United States and around the world provides compelling evidence that competition flourishes best where the parties are free to negotiate agreements privately without public disclosure.  Because there would, in fact, be substantial harm to competition and to consumers from the Commission's action, the Commission should alter its decision—but keep the level playing field—by granting waiver of the requirement to file long term contracts to </w:t>
      </w:r>
      <w:r>
        <w:rPr>
          <w:i/>
        </w:rPr>
        <w:t>all</w:t>
      </w:r>
      <w:r>
        <w:rPr/>
        <w:t xml:space="preserve"> companies with market-based rate authority.</w:t>
      </w:r>
    </w:p>
    <w:p>
      <w:pPr>
        <w:pStyle w:val="Normal"/>
        <w:spacing w:before="0" w:after="240"/>
        <w:ind w:hanging="720" w:start="1440" w:end="0"/>
        <w:rPr/>
      </w:pPr>
      <w:r>
        <w:rPr/>
        <w:t>C.</w:t>
        <w:tab/>
        <w:t>Requiring Public Disclosure Of Long-Term Agreements Is Contrary To Public Policy Against Disclosure Of Competitively Harmful Or Commercially Sensitive Information Recognized By The Commission And In A Variety Of Other Settings</w:t>
      </w:r>
    </w:p>
    <w:p>
      <w:pPr>
        <w:pStyle w:val="Normal"/>
        <w:spacing w:before="0" w:after="240"/>
        <w:ind w:hanging="720" w:start="2160" w:end="0"/>
        <w:rPr/>
      </w:pPr>
      <w:r>
        <w:rPr/>
        <w:t>1.</w:t>
        <w:tab/>
        <w:t>The Commission Frequently Has Recognized That Information Disclosure Requirements With Anti-Competitive Effects Are Contrary To Sound Public Policy</w:t>
      </w:r>
    </w:p>
    <w:p>
      <w:pPr>
        <w:pStyle w:val="Normal"/>
        <w:spacing w:lineRule="auto" w:line="480" w:before="0" w:after="120"/>
        <w:ind w:firstLine="1440" w:end="0"/>
        <w:rPr/>
      </w:pPr>
      <w:r>
        <w:rPr/>
        <w:t>In the past, the Commission has specifically recognized that anti-competitive effects could result from disclosure to competitors of commercially sensitive information found in contracts, and has weighed the harmful effects of disclosure against the need for disclosure.  Indeed, the Commission made just such a balancing in concluding that filing of short-term agreements would be competitively harmful, and should not be required:</w:t>
      </w:r>
    </w:p>
    <w:p>
      <w:pPr>
        <w:pStyle w:val="Normal"/>
        <w:spacing w:before="0" w:after="120"/>
        <w:ind w:firstLine="14" w:start="1440" w:end="1440"/>
        <w:rPr>
          <w:lang w:eastAsia="en-US"/>
        </w:rPr>
      </w:pPr>
      <w:r>
        <w:rPr>
          <w:lang w:eastAsia="en-US"/>
        </w:rPr>
        <w:t xml:space="preserve">In deciding that informational filings are to be made on a quarterly basis, we have balanced the need to ensure that the data are not stale for purposes of any market analysis, against the desire that [the applicant] not be competitively disadvantaged by having to file sensitive marketing information while it might still be useful to [the applicant's] competitors.  </w:t>
      </w:r>
    </w:p>
    <w:p>
      <w:pPr>
        <w:pStyle w:val="Normal"/>
        <w:spacing w:lineRule="auto" w:line="480"/>
        <w:rPr/>
      </w:pPr>
      <w:r>
        <w:rPr>
          <w:i/>
          <w:lang w:eastAsia="en-US"/>
        </w:rPr>
        <w:t>Enron Power Mktg., Inc.</w:t>
      </w:r>
      <w:r>
        <w:rPr>
          <w:lang w:eastAsia="en-US"/>
        </w:rPr>
        <w:t xml:space="preserve">, 66 FERC ¶ 61,244 (1994) (quoting </w:t>
      </w:r>
      <w:r>
        <w:rPr>
          <w:i/>
          <w:lang w:eastAsia="en-US"/>
        </w:rPr>
        <w:t>Citizens Power &amp; Light Corp.</w:t>
      </w:r>
      <w:r>
        <w:rPr>
          <w:lang w:eastAsia="en-US"/>
        </w:rPr>
        <w:t xml:space="preserve">, 48 FERC ¶ 61,210 (1989)).  </w:t>
      </w:r>
    </w:p>
    <w:p>
      <w:pPr>
        <w:pStyle w:val="Normal"/>
        <w:spacing w:lineRule="auto" w:line="480"/>
        <w:ind w:firstLine="1440" w:end="0"/>
        <w:rPr>
          <w:lang w:eastAsia="en-US"/>
        </w:rPr>
      </w:pPr>
      <w:r>
        <w:rPr>
          <w:lang w:eastAsia="en-US"/>
        </w:rPr>
        <w:t>There are many other examples of instances in which FERC has balanced the interest in public disclosure of sensitive information against the harm that might result from such disclosure, and has found that the potential harm outweighs the interest in disclosure.  Some examples follow.</w:t>
      </w:r>
    </w:p>
    <w:p>
      <w:pPr>
        <w:pStyle w:val="Normal"/>
        <w:spacing w:lineRule="auto" w:line="480"/>
        <w:ind w:firstLine="1440" w:end="0"/>
        <w:rPr/>
      </w:pPr>
      <w:r>
        <w:rPr>
          <w:u w:val="single"/>
          <w:lang w:eastAsia="en-US"/>
        </w:rPr>
        <w:t>Sensitivity of Innovative Contract Provisions.</w:t>
      </w:r>
      <w:r>
        <w:rPr>
          <w:lang w:eastAsia="en-US"/>
        </w:rPr>
        <w:t xml:space="preserve">  Earlier this year, the Commission recognized that disclosure of innovative contract provisions to competitors could be harmful in considering the NEPOOL Market Rules.  As proposed, the NEPOOL Market Rules provided that bilateral contracts would follow a standardized form, and that "non-standard provisions" (</w:t>
      </w:r>
      <w:r>
        <w:rPr>
          <w:i/>
          <w:lang w:eastAsia="en-US"/>
        </w:rPr>
        <w:t>i.e.</w:t>
      </w:r>
      <w:r>
        <w:rPr>
          <w:lang w:eastAsia="en-US"/>
        </w:rPr>
        <w:t xml:space="preserve">, departures from the standardized form) would be submitted to the Regional Market Operations Committee ("RMOC"), a NEPOOL committee composed of market participants.  An intervenor objected, arguing that "the RMOC should not be involved in review of non-standard provisions because it could </w:t>
      </w:r>
      <w:r>
        <w:rPr>
          <w:i/>
          <w:lang w:eastAsia="en-US"/>
        </w:rPr>
        <w:t>disclose confidential data</w:t>
      </w:r>
      <w:r>
        <w:rPr>
          <w:lang w:eastAsia="en-US"/>
        </w:rPr>
        <w:t xml:space="preserve"> (</w:t>
      </w:r>
      <w:r>
        <w:rPr>
          <w:i/>
          <w:lang w:eastAsia="en-US"/>
        </w:rPr>
        <w:t>including innovative contractual approaches</w:t>
      </w:r>
      <w:r>
        <w:rPr>
          <w:lang w:eastAsia="en-US"/>
        </w:rPr>
        <w:t xml:space="preserve">) to RMOC members."  </w:t>
      </w:r>
      <w:r>
        <w:rPr>
          <w:i/>
          <w:lang w:eastAsia="en-US"/>
        </w:rPr>
        <w:t>New England Power Pool</w:t>
      </w:r>
      <w:r>
        <w:rPr>
          <w:lang w:eastAsia="en-US"/>
        </w:rPr>
        <w:t xml:space="preserve">, 87 FERC ¶ 61,045, slip op. at 10 (1999) (emphasis added).  FERC agreed, requiring that participants be given the option of having non-standard provisions be reviewed by the Independent System Operator ("ISO").  FERC determined that, if the ISO wants the input of the RMOC, it may seek it "based on generic descriptions of the transactions, </w:t>
      </w:r>
      <w:r>
        <w:rPr>
          <w:i/>
          <w:lang w:eastAsia="en-US"/>
        </w:rPr>
        <w:t>i.e.</w:t>
      </w:r>
      <w:r>
        <w:rPr>
          <w:lang w:eastAsia="en-US"/>
        </w:rPr>
        <w:t xml:space="preserve">, without identifying the specific contract or participants that have been involved in the arrangements."  </w:t>
      </w:r>
      <w:r>
        <w:rPr>
          <w:i/>
          <w:lang w:eastAsia="en-US"/>
        </w:rPr>
        <w:t>Id.</w:t>
      </w:r>
    </w:p>
    <w:p>
      <w:pPr>
        <w:pStyle w:val="Normal"/>
        <w:spacing w:lineRule="auto" w:line="480"/>
        <w:ind w:firstLine="1440" w:end="0"/>
        <w:rPr/>
      </w:pPr>
      <w:r>
        <w:rPr>
          <w:u w:val="single"/>
        </w:rPr>
        <w:t>OASIS Postings.</w:t>
      </w:r>
      <w:r>
        <w:rPr/>
        <w:t xml:space="preserve">  In the context of the Order No. 889 Standards of Conduct, FERC has modified its OASIS posting requirements in response to a claim that such posting requirements would be commercially harmful to the posting utilities,</w:t>
      </w:r>
      <w:r>
        <w:rPr>
          <w:rStyle w:val="FootnoteCharacters"/>
          <w:rStyle w:val="FootnoteReference"/>
        </w:rPr>
        <w:footnoteReference w:id="10"/>
      </w:r>
      <w:r>
        <w:rPr/>
        <w:t xml:space="preserve"> ruling that:</w:t>
      </w:r>
    </w:p>
    <w:p>
      <w:pPr>
        <w:pStyle w:val="Normal"/>
        <w:spacing w:before="0" w:after="120"/>
        <w:ind w:start="1440" w:end="0"/>
        <w:rPr/>
      </w:pPr>
      <w:r>
        <w:rPr/>
        <w:t>In evaluating whether to require disclosure of material that is claimed to be commercially sensitive, the Commission's objective is to achieve a balance between the public interest in favor of disclosure and the right of private business to protect sensitive information in an increasingly competitive wholesale power market.</w:t>
      </w:r>
    </w:p>
    <w:p>
      <w:pPr>
        <w:pStyle w:val="Normal"/>
        <w:spacing w:lineRule="auto" w:line="480"/>
        <w:rPr/>
      </w:pPr>
      <w:r>
        <w:rPr>
          <w:i/>
        </w:rPr>
        <w:t>American Elec. Power Serv. Corp.</w:t>
      </w:r>
      <w:r>
        <w:rPr/>
        <w:t>, 83 FERC ¶ 61,357 at 62,440 (1998).</w:t>
      </w:r>
    </w:p>
    <w:p>
      <w:pPr>
        <w:pStyle w:val="Normal"/>
        <w:spacing w:lineRule="auto" w:line="480"/>
        <w:ind w:firstLine="1440" w:end="0"/>
        <w:rPr/>
      </w:pPr>
      <w:r>
        <w:rPr>
          <w:u w:val="single"/>
        </w:rPr>
        <w:t>Business Arrangements.</w:t>
      </w:r>
      <w:r>
        <w:rPr/>
        <w:t xml:space="preserve">  In the past, FERC required power marketers to file  reports detailing instances where affiliated utilities and marketers had business or financial arrangements with the same third parties.  However, FERC concluded that these requirements imposed costs and burdens on power marketers (in terms of compiling and filing the data) as well as on the Commission (in terms of reviewing the data for the purpose of detecting reciprocal dealing) that were not justified by the potential benefits of such reporting.  </w:t>
      </w:r>
      <w:r>
        <w:rPr>
          <w:i/>
        </w:rPr>
        <w:t>See Morgan Stanley Capital Group Inc.</w:t>
      </w:r>
      <w:r>
        <w:rPr/>
        <w:t>, 72 FERC ¶ 61,082 (1995) ("</w:t>
      </w:r>
      <w:r>
        <w:rPr>
          <w:i/>
        </w:rPr>
        <w:t>Morgan Stanley</w:t>
      </w:r>
      <w:r>
        <w:rPr/>
        <w:t>").</w:t>
      </w:r>
    </w:p>
    <w:p>
      <w:pPr>
        <w:pStyle w:val="Normal"/>
        <w:spacing w:lineRule="auto" w:line="480"/>
        <w:ind w:firstLine="1440" w:end="0"/>
        <w:rPr/>
      </w:pPr>
      <w:r>
        <w:rPr>
          <w:u w:val="single"/>
        </w:rPr>
        <w:t>Source and Sink.</w:t>
      </w:r>
      <w:r>
        <w:rPr/>
        <w:t xml:space="preserve">  Even where FERC has rejected claims of competitive harm from disclosure, as with the issue of disclosure of source and sink information, it has done so because </w:t>
      </w:r>
      <w:r>
        <w:rPr>
          <w:lang w:eastAsia="en-US"/>
        </w:rPr>
        <w:t xml:space="preserve">it believed it was being asked only to "protect a market niche that some market participants may have enjoyed by virtue of possessing market-related information that has not been available to others." </w:t>
      </w:r>
      <w:r>
        <w:rPr>
          <w:i/>
        </w:rPr>
        <w:t>Open-Access Same Time Information System and Standards of Conduct, Order on OASIS-Related Issues</w:t>
      </w:r>
      <w:r>
        <w:rPr/>
        <w:t xml:space="preserve">, 83 FERC ¶ 61,360 at 62,456 n.48 (1998), </w:t>
      </w:r>
      <w:r>
        <w:rPr>
          <w:i/>
        </w:rPr>
        <w:t>reh'g denied</w:t>
      </w:r>
      <w:r>
        <w:rPr/>
        <w:t xml:space="preserve">, 86 FERC ¶ 61,139 at 61,492 (1999), </w:t>
      </w:r>
      <w:r>
        <w:rPr>
          <w:i/>
        </w:rPr>
        <w:t>request for reh'g pending</w:t>
      </w:r>
      <w:r>
        <w:rPr/>
        <w:t xml:space="preserve">.  </w:t>
      </w:r>
      <w:r>
        <w:rPr>
          <w:lang w:eastAsia="en-US"/>
        </w:rPr>
        <w:t>In that case, FERC</w:t>
      </w:r>
      <w:r>
        <w:rPr/>
        <w:t xml:space="preserve"> believed the disclosure in question affected "only </w:t>
      </w:r>
      <w:r>
        <w:rPr>
          <w:lang w:eastAsia="en-US"/>
        </w:rPr>
        <w:t xml:space="preserve">one category of participant" in the market (in that case certain power marketers which had acquired certain market information), and that "their interests may not be entirely consonant with those of the . . . market as a whole."  </w:t>
      </w:r>
      <w:r>
        <w:rPr>
          <w:i/>
          <w:lang w:eastAsia="en-US"/>
        </w:rPr>
        <w:t>Id.</w:t>
      </w:r>
      <w:r>
        <w:rPr>
          <w:lang w:eastAsia="en-US"/>
        </w:rPr>
        <w:t xml:space="preserve">  </w:t>
      </w:r>
      <w:r>
        <w:rPr/>
        <w:t xml:space="preserve">Thus, FERC concluded that </w:t>
      </w:r>
      <w:r>
        <w:rPr>
          <w:lang w:eastAsia="en-US"/>
        </w:rPr>
        <w:t>"the overall benefits of unmasking outweigh the potential harm to power marketers."</w:t>
      </w:r>
      <w:r>
        <w:rPr/>
        <w:t xml:space="preserve">  </w:t>
      </w:r>
      <w:r>
        <w:rPr>
          <w:i/>
        </w:rPr>
        <w:t>Id.</w:t>
      </w:r>
      <w:r>
        <w:rPr/>
        <w:t xml:space="preserve">  </w:t>
      </w:r>
    </w:p>
    <w:p>
      <w:pPr>
        <w:pStyle w:val="Normal"/>
        <w:spacing w:lineRule="auto" w:line="480"/>
        <w:ind w:firstLine="1440" w:end="0"/>
        <w:rPr/>
      </w:pPr>
      <w:r>
        <w:rPr/>
        <w:t xml:space="preserve">Here, by contrast, the data to be disclosed is the entirety of the private competitive transaction between the participants—not information that could be collected from public sources.  Moreover, the disclosure requirement could affect </w:t>
      </w:r>
      <w:r>
        <w:rPr>
          <w:i/>
        </w:rPr>
        <w:t>every</w:t>
      </w:r>
      <w:r>
        <w:rPr/>
        <w:t xml:space="preserve"> entity with market-based rate authority, and could have a substantial chilling effect on competition and hence could hurt consumers, while no counter-balancing benefit to such disclosure has been cited.</w:t>
      </w:r>
    </w:p>
    <w:p>
      <w:pPr>
        <w:pStyle w:val="Normal"/>
        <w:spacing w:lineRule="auto" w:line="480" w:before="0" w:after="120"/>
        <w:ind w:firstLine="1440" w:end="0"/>
        <w:rPr/>
      </w:pPr>
      <w:r>
        <w:rPr>
          <w:u w:val="single"/>
        </w:rPr>
        <w:t>Tolling Agreements.</w:t>
      </w:r>
      <w:r>
        <w:rPr/>
        <w:t xml:space="preserve">  Petitioner's request here is wholly unlike the request at issue in the </w:t>
      </w:r>
      <w:r>
        <w:rPr>
          <w:i/>
        </w:rPr>
        <w:t>AES Huntington Beach, L.L.C.</w:t>
      </w:r>
      <w:r>
        <w:rPr/>
        <w:t xml:space="preserve"> decision released the same day as </w:t>
      </w:r>
      <w:r>
        <w:rPr>
          <w:i/>
        </w:rPr>
        <w:t>Southern Companies</w:t>
      </w:r>
      <w:r>
        <w:rPr/>
        <w:t xml:space="preserve">.  </w:t>
      </w:r>
      <w:r>
        <w:rPr>
          <w:i/>
        </w:rPr>
        <w:t>AES Huntington Beach, L.L.C.</w:t>
      </w:r>
      <w:r>
        <w:rPr/>
        <w:t xml:space="preserve">, 83 FERC ¶ 61,100 (1998), </w:t>
      </w:r>
      <w:r>
        <w:rPr>
          <w:i/>
        </w:rPr>
        <w:t>reh'g denied</w:t>
      </w:r>
      <w:r>
        <w:rPr/>
        <w:t xml:space="preserve">, 87 FERC ¶ 61,221 (1999).  There, FERC denied both a request that it not require filing of a long-term tolling agreement and an alternative request that the agreement be filed with price terms redacted.  FERC ruled that FPA section 205(c) required that the tolling agreement be filed in unredacted form.  Significantly, however, FERC was not asked to consider in that case whether quarterly reports meeting the requirements of section 205(c) could be filed instead of the actual long-term service agreements, which is what Petitioners propose here.  Equally significant is that the Commission announced in that case that it is willing to entertain requests for confidential treatment even where no alternative public filing, such as a quarterly report, is being made, when such treatment is necessary to avoid competitive injury.  Here, Petitioners have made showings of competitive injury on several fronts if filing long-term agreements is required </w:t>
      </w:r>
      <w:r>
        <w:rPr>
          <w:i/>
        </w:rPr>
        <w:t>and</w:t>
      </w:r>
      <w:r>
        <w:rPr/>
        <w:t xml:space="preserve"> have proposed a means to avoid such injury </w:t>
      </w:r>
      <w:r>
        <w:rPr>
          <w:i/>
        </w:rPr>
        <w:t>but still provide for full public disclosure in a form (quarterly reports) that the Commission has found previously to satisfy the requirements of the FPA.</w:t>
      </w:r>
    </w:p>
    <w:p>
      <w:pPr>
        <w:pStyle w:val="Normal"/>
        <w:spacing w:before="0" w:after="240"/>
        <w:ind w:hanging="720" w:start="2160" w:end="0"/>
        <w:rPr/>
      </w:pPr>
      <w:r>
        <w:rPr/>
        <w:t>2.</w:t>
        <w:tab/>
        <w:t>The Public Benefit in Safeguarding Commercially Sensitive Information Is Widely Recognized</w:t>
      </w:r>
    </w:p>
    <w:p>
      <w:pPr>
        <w:pStyle w:val="Normal"/>
        <w:spacing w:lineRule="auto" w:line="480" w:before="0" w:after="120"/>
        <w:ind w:firstLine="1440" w:end="0"/>
        <w:rPr/>
      </w:pPr>
      <w:r>
        <w:rPr/>
        <w:t>FERC is not alone in its frequent recognition of the interest in protecting commercially sensitive information from public disclosure.  Many federal laws and agency actions—as well as actions of regulators in foreign countries—seek to safeguard commercially sensitive information.  Following are a few examples.</w:t>
      </w:r>
    </w:p>
    <w:p>
      <w:pPr>
        <w:pStyle w:val="Normal"/>
        <w:spacing w:lineRule="auto" w:line="480" w:before="0" w:after="120"/>
        <w:ind w:firstLine="1440" w:end="0"/>
        <w:rPr/>
      </w:pPr>
      <w:r>
        <w:rPr>
          <w:u w:val="single"/>
        </w:rPr>
        <w:t>Freedom of Information Act.</w:t>
      </w:r>
      <w:r>
        <w:rPr/>
        <w:t xml:space="preserve">  In the FOIA context, the courts apply a test of whether disclosure would "cause substantial harm to the competitive position of a person" in determining whether information that is required to be submitted to the Government should be disclosed.  </w:t>
      </w:r>
      <w:r>
        <w:rPr>
          <w:i/>
        </w:rPr>
        <w:t>National Parks &amp; Conservation Ass'n v. Morton</w:t>
      </w:r>
      <w:r>
        <w:rPr/>
        <w:t>, 498 F.2d 765, 770 (D.C. Cir. 1974).</w:t>
      </w:r>
    </w:p>
    <w:p>
      <w:pPr>
        <w:pStyle w:val="Normal"/>
        <w:spacing w:lineRule="auto" w:line="480"/>
        <w:ind w:firstLine="1440" w:end="0"/>
        <w:rPr/>
      </w:pPr>
      <w:r>
        <w:rPr>
          <w:u w:val="single"/>
        </w:rPr>
        <w:t>Federal Communications Commission.</w:t>
      </w:r>
      <w:r>
        <w:rPr/>
        <w:t xml:space="preserve">  Title II of the Communications Act of 1934, as amended (the "Communications Act") contains a requirement, similar to section 205 of the FPA, that all common carriers file with the Federal Communications Commission ("FCC") copies of certain "contracts, agreements, or arrangements" in relation to any traffic affected by the provisions of the Act to which it may be a party.  47 U.S.C. § 211(a). In the 1993 Budget Act, Congress adopted a new category of common carriers—Commercial Mobile Radio Service ("CMRS") providers.  In doing so, it adopted a regulatory framework that gave the FCC flexibility to establish appropriate levels of regulation, and granted the FCC the authority to forbear from applying most of the requirements of Title II of the Communications Act.  Section 332(c)(1)(A) of the Budget Act contained a three part test for the FCC to follow in determining whether it should forbear from applying any section of Title II.  In particular, the FCC was required to find that each of the following conditions applies before implementing its forbearance authority:  (1) enforcement of such provision is not necessary in order to ensure that the charges, practices, classifications, or regulations for or in connection with that service are just and reasonable and are not unjustly or unreasonably discriminatory; (2) enforcement of such provision is not necessary for the protection of consumers; and (3) such provision is consistent with the public interest.  As part of evaluating the "public interest", Congress also mandated that the FCC consider "whether the proposed regulation . . . will promote competitive market conditions, including the extent to which such regulation . . . will enhance competition among providers of commercial mobile service . . . ."</w:t>
      </w:r>
    </w:p>
    <w:p>
      <w:pPr>
        <w:pStyle w:val="Normal"/>
        <w:spacing w:lineRule="auto" w:line="480"/>
        <w:ind w:firstLine="1440" w:end="0"/>
        <w:rPr/>
      </w:pPr>
      <w:r>
        <w:rPr/>
        <w:t xml:space="preserve">In 1994, the FCC exercised its forbearance authority with respect to CMRS:  "Forbearance from enforcing sections of Title II is appropriate where filing and other regulatory requirements would be imposed on CMRS providers without yielding significant consumer benefits." </w:t>
      </w:r>
      <w:r>
        <w:rPr>
          <w:i/>
        </w:rPr>
        <w:t>Implementation of Sections 3(n) and 332 of the Communications Act Regulatory Treatment of Mobile Services</w:t>
      </w:r>
      <w:r>
        <w:rPr/>
        <w:t xml:space="preserve">, </w:t>
      </w:r>
      <w:r>
        <w:rPr>
          <w:u w:val="single"/>
        </w:rPr>
        <w:t>Second Report and Order</w:t>
      </w:r>
      <w:r>
        <w:rPr/>
        <w:t>, 9 FCC Rcd 1411 at ¶ 164 (1994) ("</w:t>
      </w:r>
      <w:r>
        <w:rPr>
          <w:i/>
        </w:rPr>
        <w:t>CMRS Order</w:t>
      </w:r>
      <w:r>
        <w:rPr/>
        <w:t xml:space="preserve">").  In reaching this conclusion, the FCC noted:  "We were particularly concerned with those instances where application of Title II regulations may impede competition."  </w:t>
      </w:r>
      <w:r>
        <w:rPr>
          <w:i/>
        </w:rPr>
        <w:t>Id.</w:t>
      </w:r>
    </w:p>
    <w:p>
      <w:pPr>
        <w:pStyle w:val="Normal"/>
        <w:spacing w:lineRule="auto" w:line="480"/>
        <w:ind w:firstLine="1440" w:end="0"/>
        <w:rPr/>
      </w:pPr>
      <w:r>
        <w:rPr/>
        <w:t xml:space="preserve">Before deciding to forbear from imposing Title II regulations, the Commission conducted an analysis of the competitive landscape for each type of CMRS.  The Commission concluded that the market was fully competitive for all types of CMRS services except cellular.  However, despite its holding that the cellular market was not fully competitive, it held that it was competitive enough to permit the FCC to forbear from imposing the Title II restrictions.  </w:t>
      </w:r>
      <w:r>
        <w:rPr>
          <w:i/>
        </w:rPr>
        <w:t>CMRS Order</w:t>
      </w:r>
      <w:r>
        <w:rPr/>
        <w:t xml:space="preserve"> at ¶¶ 138 &amp; 175.</w:t>
      </w:r>
    </w:p>
    <w:p>
      <w:pPr>
        <w:pStyle w:val="Normal"/>
        <w:spacing w:lineRule="auto" w:line="480"/>
        <w:ind w:firstLine="1440" w:end="0"/>
        <w:rPr/>
      </w:pPr>
      <w:r>
        <w:rPr/>
        <w:t>In deciding to forbear from imposing the contract filing requirements of section 211, the FCC held:</w:t>
      </w:r>
    </w:p>
    <w:p>
      <w:pPr>
        <w:pStyle w:val="Normal"/>
        <w:tabs>
          <w:tab w:val="clear" w:pos="720"/>
          <w:tab w:val="left" w:pos="0" w:leader="none"/>
        </w:tabs>
        <w:ind w:start="1440" w:end="900"/>
        <w:rPr/>
      </w:pPr>
      <w:r>
        <w:rPr/>
        <w:t>Because we have found that competition among commercial mobile radio services is sufficient to justify forbearing from requiring tariffs, it is unlikely that contracts will contain unreasonably discriminatory rates or regulations.  Therefore, we conclude that consumers will not be harmed if we forbear from the contract filing provisions of Section 211.  Competitive market forces will ensure that inter-carrier contracts will not be used to harm consumers.</w:t>
      </w:r>
    </w:p>
    <w:p>
      <w:pPr>
        <w:pStyle w:val="Normal"/>
        <w:ind w:start="1440" w:end="1440"/>
        <w:rPr>
          <w:u w:val="single"/>
        </w:rPr>
      </w:pPr>
      <w:r>
        <w:rPr>
          <w:u w:val="single"/>
        </w:rPr>
      </w:r>
    </w:p>
    <w:p>
      <w:pPr>
        <w:pStyle w:val="Normal"/>
        <w:spacing w:lineRule="auto" w:line="480"/>
        <w:rPr/>
      </w:pPr>
      <w:r>
        <w:rPr>
          <w:i/>
        </w:rPr>
        <w:t>Id.</w:t>
      </w:r>
      <w:r>
        <w:rPr/>
        <w:t xml:space="preserve"> at ¶ 181.</w:t>
      </w:r>
    </w:p>
    <w:p>
      <w:pPr>
        <w:pStyle w:val="Normal"/>
        <w:spacing w:lineRule="auto" w:line="480"/>
        <w:ind w:firstLine="1440" w:end="0"/>
        <w:rPr/>
      </w:pPr>
      <w:r>
        <w:rPr>
          <w:u w:val="single"/>
        </w:rPr>
        <w:t>Interstate Commerce Commission.</w:t>
      </w:r>
      <w:r>
        <w:rPr/>
        <w:t xml:space="preserve">  In 1982, the Interstate Commerce Commission ("ICC"), in furtherance of the deregulatory goals of the Staggers Act of 1980, exercised its discretion to limit filing and disclosure of contract-related information.  First, it established that, while rail carriers are statutorily required to file rail transportation contracts with the ICC, and the ICC, in turn, is statutorily required to publicly disclose certain contract information, such disclosure shall not include the economic terms of such contracts.  </w:t>
      </w:r>
      <w:r>
        <w:rPr>
          <w:i/>
        </w:rPr>
        <w:t>See Rail Transportation Contracts</w:t>
      </w:r>
      <w:r>
        <w:rPr/>
        <w:t>, 36 I.C.C. 9 (1982) (</w:t>
      </w:r>
      <w:r>
        <w:rPr>
          <w:i/>
        </w:rPr>
        <w:t>RTC I</w:t>
      </w:r>
      <w:r>
        <w:rPr/>
        <w:t xml:space="preserve">); </w:t>
      </w:r>
      <w:r>
        <w:rPr>
          <w:i/>
        </w:rPr>
        <w:t>see also Water Transport Ass'n v. ICC</w:t>
      </w:r>
      <w:r>
        <w:rPr/>
        <w:t xml:space="preserve">, 722 F.2d 1025, 1031-32 (2nd Cir. 1983) (affirming disclosure rule established in </w:t>
      </w:r>
      <w:r>
        <w:rPr>
          <w:i/>
        </w:rPr>
        <w:t>RTC I</w:t>
      </w:r>
      <w:r>
        <w:rPr/>
        <w:t xml:space="preserve">, in part, because release of confidential contract information may undermine rail transportation competition).  In a subsequent challenge by certain coal shippers to the disclosure rule established in RTC I, the ICC determined that, even if confidential treatment of the economic terms of coal transportation contracts might impair rail coal carriers common carrier obligations, such impairment did not justify public disclosure of the economic terms of such contracts.  </w:t>
      </w:r>
      <w:r>
        <w:rPr>
          <w:i/>
        </w:rPr>
        <w:t>See Rail Transportation Contracts</w:t>
      </w:r>
      <w:r>
        <w:rPr/>
        <w:t>, 3 I.C.C.2d 219 (1986) (</w:t>
      </w:r>
      <w:r>
        <w:rPr>
          <w:i/>
        </w:rPr>
        <w:t>RTC II</w:t>
      </w:r>
      <w:r>
        <w:rPr/>
        <w:t xml:space="preserve">); see also </w:t>
      </w:r>
      <w:r>
        <w:rPr>
          <w:i/>
        </w:rPr>
        <w:t>Burlington Northern R.R. Co. v. Pub. Util. Comm'n. of Texas</w:t>
      </w:r>
      <w:r>
        <w:rPr/>
        <w:t xml:space="preserve">, 812 F.2d 231, 235 (5th Cir. 1987) (citations omitted) (noting that such disclosure is limited to "allow the forces of the marketplace to regulate rail rates whenever possible").  </w:t>
      </w:r>
    </w:p>
    <w:p>
      <w:pPr>
        <w:pStyle w:val="Normal"/>
        <w:spacing w:lineRule="auto" w:line="480"/>
        <w:ind w:firstLine="1440" w:end="0"/>
        <w:rPr/>
      </w:pPr>
      <w:r>
        <w:rPr/>
        <w:t>Second, in 1992, the ICC, to ensure the protection of confidential contract information from public disclosure, modified its regulations to exempt rail carriers from the requirement to file contracts, other than contracts for agricultural commodities</w:t>
      </w:r>
      <w:r>
        <w:rPr>
          <w:i/>
        </w:rPr>
        <w:t>.  See Rail Transportation Contracts</w:t>
      </w:r>
      <w:r>
        <w:rPr/>
        <w:t>, 8 I.C.C.2d 730 (1992).  In support of this exemption, the ICC noted that "[t]he continued filing of contract summaries . . . will meet the Commission's regulatory requirements . . . .  The Commission has adequate alternative sources of information available to it regarding the utilization of railroad transportation contracts, and when complaints are filed against contracts, or when it finds any other need therefor, the Commission can obtain copies of contracts from the rail carriers."  8 I.C.C.2d at 736.</w:t>
      </w:r>
    </w:p>
    <w:p>
      <w:pPr>
        <w:pStyle w:val="Normal"/>
        <w:spacing w:lineRule="auto" w:line="480"/>
        <w:ind w:firstLine="1440" w:end="0"/>
        <w:rPr/>
      </w:pPr>
      <w:r>
        <w:rPr/>
        <w:t xml:space="preserve">In addition to filing the non-economic terms of rail transportation contracts, rail carriers have also been required to file so-called "Waybill Sample" data with the ICC and its successor agency, the Surface Transportation Board ("STB").  Waybill sample data includes movement-specific data on origination and termination points, participating carriers, interchange points, cars and car types, movement weight in tons, the commodity, and the freight revenue, but does not include the identity of the shipper and the consignee.  Aggregated waybill sample data, which masks confidential commercial information, is generally available to the public (the so-called "Public Use Waybill File"), while the data from the desegregated Waybill Sample, which contains commercially-sensitive confidential data, is made available only in limited circumstances to certain persons.  Concerned that even the limited disclosure of Waybill Sample data, especially movement-specific revenue data, threatened the general protection of the economic terms of rail transportation contracts, the ICC and the STB since the late 1980s have permitted rail carriers to mask contract revenues.  To provide further protection to carriers that may not mask contract revenue data, the STB recently announced a proposed rule to permit carriers to mask contract revenues by aggregating actual contract and non-contract revenue data.  </w:t>
      </w:r>
      <w:r>
        <w:rPr>
          <w:i/>
        </w:rPr>
        <w:t>Modification of the Carload Waybill Sample and Public Use File Regulations</w:t>
      </w:r>
      <w:r>
        <w:rPr/>
        <w:t>, ANPR, 64 Fed. Reg. 26,723 at 27,724 (May 17, 1999).</w:t>
      </w:r>
    </w:p>
    <w:p>
      <w:pPr>
        <w:pStyle w:val="Normal"/>
        <w:spacing w:lineRule="auto" w:line="480"/>
        <w:ind w:firstLine="1440" w:end="0"/>
        <w:rPr/>
      </w:pPr>
      <w:r>
        <w:rPr>
          <w:b/>
          <w:u w:val="single"/>
        </w:rPr>
        <w:t>[</w:t>
      </w:r>
      <w:r>
        <w:rPr>
          <w:u w:val="single"/>
        </w:rPr>
        <w:t>Department of Transportation.</w:t>
      </w:r>
      <w:r>
        <w:rPr/>
        <w:t xml:space="preserve">  The Department of Transportation ("DOT") recently announced plans to propose new rules that would allow railroads that are required to report contracts to mask revenue information in those contracts by using an average of contract and non-contract revenues rather than the actual revenues specific to the reported contracts.  64 Fed. Reg. 26,723 at 26,724 (1999) (addressing regulations at 49 C.F.R. Part 1244).</w:t>
      </w:r>
      <w:r>
        <w:rPr>
          <w:b/>
        </w:rPr>
        <w:t>]  [LATHAM SUGGESTED WE DELETE THIS.  NEED TO DISCUSS]</w:t>
      </w:r>
    </w:p>
    <w:p>
      <w:pPr>
        <w:pStyle w:val="Normal"/>
        <w:spacing w:lineRule="auto" w:line="480"/>
        <w:ind w:firstLine="1440" w:end="0"/>
        <w:rPr/>
      </w:pPr>
      <w:r>
        <w:rPr>
          <w:u w:val="single"/>
        </w:rPr>
        <w:t>Anti-Trust/Price Fixing Concerns.</w:t>
      </w:r>
      <w:r>
        <w:rPr/>
        <w:t xml:space="preserve"> </w:t>
      </w:r>
      <w:r>
        <w:rPr>
          <w:rFonts w:cs="Tms Rmn;Times New Roman" w:ascii="Tms Rmn;Times New Roman" w:hAnsi="Tms Rmn;Times New Roman"/>
          <w:color w:val="000000"/>
          <w:lang w:eastAsia="en-US"/>
        </w:rPr>
        <w:t xml:space="preserve">Exchanges of price information and other commercially sensitive business information between or among competitors is conduct that is governed by Section 1 of the Sherman Act.  Such conduct has long been prohibited under the federal antitrust laws when it may have anticompetitive effects.  </w:t>
      </w:r>
      <w:r>
        <w:rPr>
          <w:rFonts w:cs="Tms Rmn;Times New Roman" w:ascii="Tms Rmn;Times New Roman" w:hAnsi="Tms Rmn;Times New Roman"/>
          <w:i/>
          <w:color w:val="000000"/>
          <w:lang w:eastAsia="en-US"/>
        </w:rPr>
        <w:t>See, e.g., United States v. Container Corp. of America</w:t>
      </w:r>
      <w:r>
        <w:rPr>
          <w:rFonts w:cs="Tms Rmn;Times New Roman" w:ascii="Tms Rmn;Times New Roman" w:hAnsi="Tms Rmn;Times New Roman"/>
          <w:color w:val="000000"/>
          <w:lang w:eastAsia="en-US"/>
        </w:rPr>
        <w:t xml:space="preserve">, 393 U.S. 333 (1969);  </w:t>
      </w:r>
      <w:r>
        <w:rPr>
          <w:rFonts w:cs="Tms Rmn;Times New Roman" w:ascii="Tms Rmn;Times New Roman" w:hAnsi="Tms Rmn;Times New Roman"/>
          <w:i/>
          <w:color w:val="000000"/>
          <w:lang w:eastAsia="en-US"/>
        </w:rPr>
        <w:t>American Column &amp; Lumber Co. v. United States</w:t>
      </w:r>
      <w:r>
        <w:rPr>
          <w:rFonts w:cs="Tms Rmn;Times New Roman" w:ascii="Tms Rmn;Times New Roman" w:hAnsi="Tms Rmn;Times New Roman"/>
          <w:color w:val="000000"/>
          <w:lang w:eastAsia="en-US"/>
        </w:rPr>
        <w:t xml:space="preserve">, 257 U.S. 377 (1921).  While an agreement to exchange  price and other such information is not itself illegal </w:t>
      </w:r>
      <w:r>
        <w:rPr>
          <w:rFonts w:cs="Tms Rmn;Times New Roman" w:ascii="Tms Rmn;Times New Roman" w:hAnsi="Tms Rmn;Times New Roman"/>
          <w:i/>
          <w:color w:val="000000"/>
          <w:lang w:eastAsia="en-US"/>
        </w:rPr>
        <w:t>per se</w:t>
      </w:r>
      <w:r>
        <w:rPr>
          <w:rFonts w:cs="Tms Rmn;Times New Roman" w:ascii="Tms Rmn;Times New Roman" w:hAnsi="Tms Rmn;Times New Roman"/>
          <w:color w:val="000000"/>
          <w:lang w:eastAsia="en-US"/>
        </w:rPr>
        <w:t xml:space="preserve"> under the antitrust laws, proof that competitors have shared such information can serve as evidence of a </w:t>
      </w:r>
      <w:r>
        <w:rPr>
          <w:rFonts w:cs="Tms Rmn;Times New Roman" w:ascii="Tms Rmn;Times New Roman" w:hAnsi="Tms Rmn;Times New Roman"/>
          <w:i/>
          <w:color w:val="000000"/>
          <w:lang w:eastAsia="en-US"/>
        </w:rPr>
        <w:t>per se</w:t>
      </w:r>
      <w:r>
        <w:rPr>
          <w:rFonts w:cs="Tms Rmn;Times New Roman" w:ascii="Tms Rmn;Times New Roman" w:hAnsi="Tms Rmn;Times New Roman"/>
          <w:color w:val="000000"/>
          <w:lang w:eastAsia="en-US"/>
        </w:rPr>
        <w:t xml:space="preserve"> illegal conspiracy to fix prices and result in treble civil damages, </w:t>
      </w:r>
      <w:r>
        <w:rPr>
          <w:rFonts w:cs="Tms Rmn;Times New Roman" w:ascii="Tms Rmn;Times New Roman" w:hAnsi="Tms Rmn;Times New Roman"/>
          <w:i/>
          <w:color w:val="000000"/>
          <w:lang w:eastAsia="en-US"/>
        </w:rPr>
        <w:t>see, e.g., In re Petroleum Products Antitrust Litigation</w:t>
      </w:r>
      <w:r>
        <w:rPr>
          <w:rFonts w:cs="Tms Rmn;Times New Roman" w:ascii="Tms Rmn;Times New Roman" w:hAnsi="Tms Rmn;Times New Roman"/>
          <w:color w:val="000000"/>
          <w:lang w:eastAsia="en-US"/>
        </w:rPr>
        <w:t xml:space="preserve">, 906 F.2d 432 (9th Cir. 1990), and criminal penalties, </w:t>
      </w:r>
      <w:r>
        <w:rPr>
          <w:rFonts w:cs="Tms Rmn;Times New Roman" w:ascii="Tms Rmn;Times New Roman" w:hAnsi="Tms Rmn;Times New Roman"/>
          <w:i/>
          <w:color w:val="000000"/>
          <w:lang w:eastAsia="en-US"/>
        </w:rPr>
        <w:t>United States v. United States Gypsum Co.</w:t>
      </w:r>
      <w:r>
        <w:rPr>
          <w:rFonts w:cs="Tms Rmn;Times New Roman" w:ascii="Tms Rmn;Times New Roman" w:hAnsi="Tms Rmn;Times New Roman"/>
          <w:color w:val="000000"/>
          <w:lang w:eastAsia="en-US"/>
        </w:rPr>
        <w:t>, 438 U.S. 422 (1978).  In addition, many states have their own antitrust laws that also govern such conduct and prohibit it in similar circumstances.  Thus requiring public disclosure of long-term agreements may allow companies access to information that they would otherwise be prohibited from exchanging with one another under federal and state antitrust laws.</w:t>
      </w:r>
    </w:p>
    <w:p>
      <w:pPr>
        <w:pStyle w:val="Normal"/>
        <w:spacing w:lineRule="auto" w:line="480"/>
        <w:ind w:firstLine="1440" w:end="0"/>
        <w:rPr>
          <w:i/>
          <w:i/>
        </w:rPr>
      </w:pPr>
      <w:r>
        <w:rPr>
          <w:u w:val="single"/>
        </w:rPr>
        <w:t>Electric Industries in Foreign Countries.</w:t>
      </w:r>
      <w:r>
        <w:rPr/>
        <w:t xml:space="preserve">  As Dr. Pifer's affidavit describes, to his knowledge "the principle competitive markets worldwide do not require wholesale suppliers and their customers to publish the competitively sensitive terms of their privately negotiated wholesale contracts."  </w:t>
      </w:r>
      <w:r>
        <w:rPr>
          <w:i/>
        </w:rPr>
        <w:t xml:space="preserve">Pifer Aff. </w:t>
      </w:r>
      <w:r>
        <w:rPr/>
        <w:t xml:space="preserve">at ___.  Dr. Pifer provides examples of how three countries whose electric industries he is closely familiar with have addressed the issue of disclosing contracts, concluding that each has opted against a disclosure requirement. </w:t>
      </w:r>
    </w:p>
    <w:p>
      <w:pPr>
        <w:pStyle w:val="Normal"/>
        <w:spacing w:before="0" w:after="240"/>
        <w:ind w:hanging="720" w:start="1440" w:end="0"/>
        <w:rPr/>
      </w:pPr>
      <w:r>
        <w:rPr/>
        <w:t>D.</w:t>
        <w:tab/>
        <w:t>FERC Has Authority To Waive The Requirement For Filing Of Long-Term Agreements In Favor of Quarterly Reports</w:t>
      </w:r>
    </w:p>
    <w:p>
      <w:pPr>
        <w:pStyle w:val="Normal"/>
        <w:spacing w:lineRule="auto" w:line="480"/>
        <w:rPr/>
      </w:pPr>
      <w:r>
        <w:rPr/>
        <w:tab/>
        <w:tab/>
        <w:t xml:space="preserve">The Order does not claim that the Commission is statutorily required under the FPA to require filing of long-term contracts, nor can it since the Commission has not required such filings by power marketers in the past.  The Commission's position has consistently been that it has the </w:t>
      </w:r>
      <w:r>
        <w:rPr>
          <w:i/>
        </w:rPr>
        <w:t>discretion</w:t>
      </w:r>
      <w:r>
        <w:rPr/>
        <w:t xml:space="preserve"> to waive filing requirements for market-based rate contracts—short- or long-term—so long as quarterly reports are submitted.  In this regard, Section 205(c) of the FPA, which provide for filings of contracts "[u]nder such rules and regulations as the Commission may prescribe," and "within such time and in such form as the Commission may designate," gives the Commission </w:t>
      </w:r>
      <w:r>
        <w:rPr>
          <w:i/>
        </w:rPr>
        <w:t>discretion</w:t>
      </w:r>
      <w:r>
        <w:rPr/>
        <w:t xml:space="preserve"> as to the means of reporting contracts.  In the Order, the Commission reaffirmed its position that it has authority under Section 205 to waive filing requirements in favor of quarterly reports.  Order, slip op. at 18.  </w:t>
      </w:r>
      <w:r>
        <w:rPr>
          <w:i/>
        </w:rPr>
        <w:t>See also PCA II</w:t>
      </w:r>
      <w:r>
        <w:rPr/>
        <w:t>,</w:t>
      </w:r>
      <w:r>
        <w:rPr>
          <w:i/>
        </w:rPr>
        <w:t xml:space="preserve"> supra</w:t>
      </w:r>
      <w:r>
        <w:rPr/>
        <w:t xml:space="preserve"> (quarterly report filings "fully comply with the filing requirements of section 205(c)");</w:t>
      </w:r>
      <w:r>
        <w:rPr>
          <w:i/>
        </w:rPr>
        <w:t xml:space="preserve"> Edison Mission Mktg. &amp; Trading, Inc.</w:t>
      </w:r>
      <w:r>
        <w:rPr/>
        <w:t xml:space="preserve">, 86 FERC ¶ 61,072 (1999); </w:t>
      </w:r>
      <w:r>
        <w:rPr>
          <w:i/>
        </w:rPr>
        <w:t>LG&amp;E Energy Mktg., Inc.</w:t>
      </w:r>
      <w:r>
        <w:rPr/>
        <w:t xml:space="preserve">, 83 FERC ¶ 61,130 (1998); </w:t>
      </w:r>
      <w:r>
        <w:rPr>
          <w:i/>
        </w:rPr>
        <w:t>Plum Street Energy Mktg., Inc.</w:t>
      </w:r>
      <w:r>
        <w:rPr/>
        <w:t>, 76 FERC ¶ 61,319 (1996) (quarterly reports are necessary to ensure that contracts relating to rates and services are on file as required by section 205(c), and to allow the Commission to evaluate the reasonableness of the charges and to provide for ongoing monitoring of the power marketer's ability to exercise market power).  These decisions involved power marketers, who report their long-term as well as short-term transactions through quarterly reports, demonstrating that the Commission already has decided that it has authority to waive the filing requirement for long-term transactions in favor of quarterly reports.</w:t>
      </w:r>
    </w:p>
    <w:p>
      <w:pPr>
        <w:pStyle w:val="Normal"/>
        <w:spacing w:before="240" w:after="240"/>
        <w:ind w:hanging="720" w:start="1440" w:end="0"/>
        <w:rPr>
          <w:u w:val="single"/>
        </w:rPr>
      </w:pPr>
      <w:r>
        <w:rPr/>
        <w:t>E.</w:t>
        <w:tab/>
        <w:t>Waiver Of The Requirement Of Filing Of Long-Term Agreements For All Entities With Market-Based Rates Would Strike The Proper Balance</w:t>
      </w:r>
    </w:p>
    <w:p>
      <w:pPr>
        <w:pStyle w:val="Normal"/>
        <w:spacing w:lineRule="auto" w:line="480"/>
        <w:ind w:firstLine="1440" w:end="0"/>
        <w:rPr/>
      </w:pPr>
      <w:r>
        <w:rPr/>
        <w:t xml:space="preserve">As discussed in Part II.D, above, FERC has authority to waive the requirement of filing of long-term contracts.  As discussed in Parts II.A and B, above, requiring disclosure would substantially lessen competition in the bulk power marketplace.  As described in Part II.C, where disclosure of information may result in competitive harm, sound public policy calls for a balancing of that harm against the benefit of disclosure.  Here, statutory disclosure requirements can be satisfied by filing of quarterly reports without any of the harmful effects that would arise from a requirement to file the long-term contracts.  </w:t>
      </w:r>
    </w:p>
    <w:p>
      <w:pPr>
        <w:pStyle w:val="Normal"/>
        <w:spacing w:lineRule="auto" w:line="480"/>
        <w:ind w:firstLine="1440" w:end="0"/>
        <w:rPr/>
      </w:pPr>
      <w:r>
        <w:rPr/>
        <w:t>FERC has not articulated any benefit to filing of long-term contracts that would not be equally realized through filing of quarterly reports, and certainly no benefit that would outweigh the potentially significant harm to market participants and efficient competition discussed above.</w:t>
      </w:r>
      <w:r>
        <w:rPr>
          <w:rStyle w:val="FootnoteCharacters"/>
          <w:rStyle w:val="FootnoteReference"/>
        </w:rPr>
        <w:footnoteReference w:id="11"/>
      </w:r>
      <w:r>
        <w:rPr/>
        <w:t xml:space="preserve">  Rather, FERC has merely stated that waiver is not warranted because filing of long-term agreements will not harm competition in the same fashion as filing of short-term agreements, </w:t>
      </w:r>
      <w:r>
        <w:rPr>
          <w:i/>
        </w:rPr>
        <w:t>i.e.</w:t>
      </w:r>
      <w:r>
        <w:rPr/>
        <w:t xml:space="preserve">, in FERC's view filing of such agreements will not be burdensome enough to slow down the market.  </w:t>
      </w:r>
    </w:p>
    <w:p>
      <w:pPr>
        <w:pStyle w:val="Normal"/>
        <w:spacing w:lineRule="auto" w:line="480"/>
        <w:ind w:firstLine="1440" w:end="0"/>
        <w:rPr/>
      </w:pPr>
      <w:r>
        <w:rPr>
          <w:lang w:eastAsia="en-US"/>
        </w:rPr>
        <w:t>The historic (pre-market-based rate) basis under the FPA for requiring filing of contracts was to allow FERC to review the contracts to ensure that they were just and reasonable to protect captive ratepayers.  That rationale simply is not applicable in a market-based context because there are no captive ratepayers.  Decisions are based on market forces.  As the long list of companies that the Commission made parties to this case demonstrates, there are abundant suppliers of power, each of whom has been found to be without market power.  As the FCC found in similar circumstances i</w:t>
      </w:r>
      <w:r>
        <w:rPr/>
        <w:t>n deciding to forbear from imposing restrictions under Title II of the Communications Act:</w:t>
      </w:r>
    </w:p>
    <w:p>
      <w:pPr>
        <w:pStyle w:val="Normal"/>
        <w:tabs>
          <w:tab w:val="clear" w:pos="720"/>
          <w:tab w:val="left" w:pos="-1800" w:leader="none"/>
        </w:tabs>
        <w:ind w:start="1440" w:end="900"/>
        <w:rPr/>
      </w:pPr>
      <w:r>
        <w:rPr/>
        <w:t>[I]n a competitive market, market forces are generally sufficient to ensure the lawfulness of rate levels, rate structures, and terms and conditions of service set by carriers who lack market power.  Removing or reducing regulatory requirements also tends to encourage market entry and lower costs. . . . [N]on-dominant carriers are unlikely to behave anti-competitively . . . because they recognize that such behavior would result in the loss of customers.</w:t>
      </w:r>
    </w:p>
    <w:p>
      <w:pPr>
        <w:pStyle w:val="Normal"/>
        <w:tabs>
          <w:tab w:val="clear" w:pos="720"/>
          <w:tab w:val="left" w:pos="-1800" w:leader="none"/>
        </w:tabs>
        <w:ind w:start="1440" w:end="900"/>
        <w:rPr/>
      </w:pPr>
      <w:r>
        <w:rPr/>
      </w:r>
    </w:p>
    <w:p>
      <w:pPr>
        <w:pStyle w:val="Normal"/>
        <w:spacing w:lineRule="auto" w:line="480"/>
        <w:rPr/>
      </w:pPr>
      <w:r>
        <w:rPr>
          <w:i/>
        </w:rPr>
        <w:t>CMRS Order</w:t>
      </w:r>
      <w:r>
        <w:rPr/>
        <w:t xml:space="preserve"> at ¶ 173.  </w:t>
      </w:r>
    </w:p>
    <w:p>
      <w:pPr>
        <w:pStyle w:val="Normal"/>
        <w:spacing w:lineRule="auto" w:line="480"/>
        <w:ind w:firstLine="1440" w:end="0"/>
        <w:rPr/>
      </w:pPr>
      <w:r>
        <w:rPr>
          <w:lang w:eastAsia="en-US"/>
        </w:rPr>
        <w:t xml:space="preserve">The only possible purpose of requiring filing of contracts under these circumstances is market-power monitoring, a task that, as the Commission held in the many cases discussed above, can be satisfied through review of quarterly reports.  In addition, </w:t>
      </w:r>
      <w:r>
        <w:rPr/>
        <w:t xml:space="preserve">FERC has investigatory powers, and through the quarterly reports can rely upon market monitoring and the complaint procedure to police long-term contracts.  </w:t>
      </w:r>
      <w:r>
        <w:rPr>
          <w:i/>
        </w:rPr>
        <w:t>See Morgan Stanley</w:t>
      </w:r>
      <w:r>
        <w:rPr/>
        <w:t>, 72 FERC at 61,436 (recognizing in eliminating business and financial arrangements reporting requirement that any related issue is "appropriately addressed through a complaint mechanism.").</w:t>
      </w:r>
    </w:p>
    <w:p>
      <w:pPr>
        <w:pStyle w:val="Normal"/>
        <w:spacing w:lineRule="auto" w:line="480"/>
        <w:ind w:firstLine="1440" w:end="0"/>
        <w:rPr/>
      </w:pPr>
      <w:r>
        <w:rPr/>
        <w:t>Petitioners respectfully submit that the foregoing demonstrates conclusively that the harm to market participants and efficient competition that would flow from a requirement for filing long-term contracts greatly outweighs any benefit that might be derived from requiring the filing of such contracts as opposed to quarterly reports.</w:t>
      </w:r>
      <w:r>
        <w:rPr>
          <w:rStyle w:val="FootnoteCharacters"/>
        </w:rPr>
        <w:t xml:space="preserve"> </w:t>
      </w:r>
      <w:r>
        <w:rPr>
          <w:rStyle w:val="FootnoteCharacters"/>
          <w:rStyle w:val="FootnoteReference"/>
        </w:rPr>
        <w:footnoteReference w:id="12"/>
      </w:r>
      <w:r>
        <w:rPr/>
        <w:t xml:space="preserve">  Thus, waiving the requirement for filing of all market-based rate transactions for all companies with market-based rates, and replacing it with a quarterly reporting requirement, would </w:t>
      </w:r>
      <w:r>
        <w:rPr>
          <w:lang w:eastAsia="en-US"/>
        </w:rPr>
        <w:t xml:space="preserve">"balance the need to ensure that the data are not stale for purposes of any market analysis, against the desire that [the applicant] not be competitively disadvantaged by having to file sensitive marketing information while it might still be useful to [the applicant's] competitors."  </w:t>
      </w:r>
      <w:r>
        <w:rPr>
          <w:i/>
          <w:lang w:eastAsia="en-US"/>
        </w:rPr>
        <w:t>Enron</w:t>
      </w:r>
      <w:r>
        <w:rPr>
          <w:lang w:eastAsia="en-US"/>
        </w:rPr>
        <w:t xml:space="preserve">, </w:t>
      </w:r>
      <w:r>
        <w:rPr>
          <w:i/>
          <w:lang w:eastAsia="en-US"/>
        </w:rPr>
        <w:t>supra</w:t>
      </w:r>
      <w:r>
        <w:rPr>
          <w:lang w:eastAsia="en-US"/>
        </w:rPr>
        <w:t>.</w:t>
      </w:r>
    </w:p>
    <w:p>
      <w:pPr>
        <w:pStyle w:val="Normal"/>
        <w:spacing w:before="0" w:after="240"/>
        <w:ind w:hanging="720" w:start="1440" w:end="0"/>
        <w:rPr>
          <w:u w:val="single"/>
        </w:rPr>
      </w:pPr>
      <w:r>
        <w:rPr/>
        <w:t>F.</w:t>
        <w:tab/>
        <w:t>Alternatively, FERC Should Allow Long-Term Contracts To Be Supplied To FERC On An Informational And Confidential Basis In Conjunction With Public Filing Of Quarterly Reports</w:t>
      </w:r>
    </w:p>
    <w:p>
      <w:pPr>
        <w:pStyle w:val="Normal"/>
        <w:spacing w:lineRule="auto" w:line="480"/>
        <w:ind w:firstLine="1440" w:end="0"/>
        <w:rPr/>
      </w:pPr>
      <w:r>
        <w:rPr/>
        <w:t>As discussed above, there is no consumer protection or other reason to require filing of long-term contracts.  However, if the Commission believes that more is required—</w:t>
      </w:r>
      <w:r>
        <w:rPr>
          <w:i/>
        </w:rPr>
        <w:t>i.e.</w:t>
      </w:r>
      <w:r>
        <w:rPr/>
        <w:t xml:space="preserve">, if it would like to review long-term contracts—it should allow long-term contracts to be supplied on an informal, </w:t>
      </w:r>
      <w:r>
        <w:rPr>
          <w:i/>
        </w:rPr>
        <w:t>informational</w:t>
      </w:r>
      <w:r>
        <w:rPr/>
        <w:t xml:space="preserve"> basis, under </w:t>
      </w:r>
      <w:r>
        <w:rPr>
          <w:i/>
        </w:rPr>
        <w:t>confidential</w:t>
      </w:r>
      <w:r>
        <w:rPr/>
        <w:t xml:space="preserve"> seal, in </w:t>
      </w:r>
      <w:r>
        <w:rPr>
          <w:i/>
        </w:rPr>
        <w:t>conjunction</w:t>
      </w:r>
      <w:r>
        <w:rPr/>
        <w:t xml:space="preserve"> with public filing of quarterly reports.  As discussed in the above examples concerning the STB (formerly the ICC), it is not uncommon for agencies to allow the entities they regulate to mask sensitive data from competitors.</w:t>
      </w:r>
    </w:p>
    <w:p>
      <w:pPr>
        <w:pStyle w:val="Normal"/>
        <w:spacing w:lineRule="auto" w:line="480"/>
        <w:ind w:firstLine="1440" w:end="0"/>
        <w:rPr/>
      </w:pPr>
      <w:r>
        <w:rPr/>
        <w:t xml:space="preserve">FERC has held that long-term contracts may not be filed on a confidential basis because "the requirement for public inspection of rates is a statutory requirement that cannot be waived."  </w:t>
      </w:r>
      <w:r>
        <w:rPr>
          <w:i/>
        </w:rPr>
        <w:t>ESI Vansycle Partners, L.P.</w:t>
      </w:r>
      <w:r>
        <w:rPr/>
        <w:t xml:space="preserve">, 83 FERC ¶ 61,254 at 62,075 (1998).  In some cases, FERC has denied confidential treatment of </w:t>
      </w:r>
      <w:r>
        <w:rPr>
          <w:i/>
        </w:rPr>
        <w:t>long-term</w:t>
      </w:r>
      <w:r>
        <w:rPr/>
        <w:t xml:space="preserve"> contracts on this basis while providing simultaneously for filing of umbrella service agreements and quarterly reports in lieu of </w:t>
      </w:r>
      <w:r>
        <w:rPr>
          <w:i/>
        </w:rPr>
        <w:t>short-term</w:t>
      </w:r>
      <w:r>
        <w:rPr/>
        <w:t xml:space="preserve"> agreements.  </w:t>
      </w:r>
      <w:r>
        <w:rPr>
          <w:i/>
        </w:rPr>
        <w:t>See</w:t>
      </w:r>
      <w:r>
        <w:rPr/>
        <w:t xml:space="preserve"> </w:t>
      </w:r>
      <w:r>
        <w:rPr>
          <w:i/>
        </w:rPr>
        <w:t>Cataula Generating Co., L.P.</w:t>
      </w:r>
      <w:r>
        <w:rPr/>
        <w:t xml:space="preserve">, 79 FERC ¶ 61,261 at 62,134 n.11 (1997); </w:t>
      </w:r>
      <w:r>
        <w:rPr>
          <w:i/>
        </w:rPr>
        <w:t>Kincaid Generation L.L.C.</w:t>
      </w:r>
      <w:r>
        <w:rPr/>
        <w:t xml:space="preserve">, 78 FERC ¶ 61,082 at 61,301 n.9 (1997).  This treatment of short-term agreements is consistent with the cases above that hold that the requirements of section 205(c) of the FPA are satisfied by filing of quarterly reports.  Importantly, in those cases FERC did not require filing of quarterly reports with respect to long-term agreements and hence if long-term contracts had been filed on a confidential basis there would have been no other filing to meet the public disclosure requirements of section 205(c).  </w:t>
      </w:r>
    </w:p>
    <w:p>
      <w:pPr>
        <w:pStyle w:val="Normal"/>
        <w:spacing w:lineRule="auto" w:line="480"/>
        <w:ind w:firstLine="1440" w:end="0"/>
        <w:rPr/>
      </w:pPr>
      <w:r>
        <w:rPr/>
        <w:t xml:space="preserve">Petitioners propose that—if FERC denies the relief requested above—long-term agreements be supplied to FERC confidentially </w:t>
      </w:r>
      <w:r>
        <w:rPr>
          <w:i/>
        </w:rPr>
        <w:t>and</w:t>
      </w:r>
      <w:r>
        <w:rPr/>
        <w:t xml:space="preserve"> that quarterly reports be filed making </w:t>
      </w:r>
      <w:r>
        <w:rPr>
          <w:i/>
        </w:rPr>
        <w:t>publicly</w:t>
      </w:r>
      <w:r>
        <w:rPr/>
        <w:t xml:space="preserve"> available the information that the Commission has deemed necessary to satisfy the public disclosure and filing requirements of the FPA in the short-term context.  Under this proposal:  (1) FERC would be able to examine the actual contract under seal for market monitoring purposes; (2) the public would be able to examine key data in the quarterly reports; (3) because the long-term contract would be filed for informational purposes only, it would not be subject to notice of cancellation requirements, and hence would not undermine the market-making function of "netting out" accounting and credit risk management; and (4) innovative contract mechanisms and other details the disclosure of which could be anti-competitive would not be disclosed.</w:t>
      </w:r>
    </w:p>
    <w:p>
      <w:pPr>
        <w:pStyle w:val="Normal"/>
        <w:spacing w:lineRule="auto" w:line="480" w:before="0" w:after="120"/>
        <w:ind w:firstLine="1440" w:end="0"/>
        <w:rPr/>
      </w:pPr>
      <w:r>
        <w:rPr/>
        <w:t>Petitioners wish to emphasize that, while this alternative proposal would be better than a formal filing requirement entailing full disclosure of terms and conditions and subject to notice of cancellation requirements, the process of confidential filing, and the maintenance of confidential files at the Commission, would be somewhat burdensome.  Hence, Petitioners believe that a full waiver of the filing requirement subject to filing of quarterly reports is by far the better alternative.</w:t>
      </w:r>
    </w:p>
    <w:p>
      <w:pPr>
        <w:pStyle w:val="Normal"/>
        <w:spacing w:before="0" w:after="120"/>
        <w:ind w:start="3960" w:end="0"/>
        <w:rPr/>
      </w:pPr>
      <w:r>
        <w:rPr/>
        <w:t>Respectfully submitted,</w:t>
      </w:r>
    </w:p>
    <w:p>
      <w:pPr>
        <w:pStyle w:val="Normal"/>
        <w:spacing w:before="0" w:after="120"/>
        <w:ind w:start="3960" w:end="0"/>
        <w:rPr/>
      </w:pPr>
      <w:r>
        <w:rPr/>
      </w:r>
    </w:p>
    <w:p>
      <w:pPr>
        <w:pStyle w:val="Normal"/>
        <w:ind w:start="3960" w:end="0"/>
        <w:rPr/>
      </w:pPr>
      <w:r>
        <w:rPr/>
        <w:t>__________________________</w:t>
      </w:r>
    </w:p>
    <w:p>
      <w:pPr>
        <w:pStyle w:val="Normal"/>
        <w:ind w:start="3960" w:end="0"/>
        <w:rPr/>
      </w:pPr>
      <w:r>
        <w:rPr/>
        <w:t>Earle H. O'Donnell</w:t>
      </w:r>
    </w:p>
    <w:p>
      <w:pPr>
        <w:pStyle w:val="Normal"/>
        <w:ind w:start="3960" w:end="0"/>
        <w:rPr/>
      </w:pPr>
      <w:r>
        <w:rPr/>
        <w:t>Noel H. Symons</w:t>
      </w:r>
    </w:p>
    <w:p>
      <w:pPr>
        <w:pStyle w:val="Normal"/>
        <w:ind w:start="3960" w:end="0"/>
        <w:rPr/>
      </w:pPr>
      <w:r>
        <w:rPr/>
        <w:t>Dewey Ballantine LLP</w:t>
      </w:r>
    </w:p>
    <w:p>
      <w:pPr>
        <w:pStyle w:val="Normal"/>
        <w:ind w:start="3960" w:end="0"/>
        <w:rPr/>
      </w:pPr>
      <w:r>
        <w:rPr/>
        <w:t>1775 Pennsylvania Avenue, N.W.</w:t>
      </w:r>
    </w:p>
    <w:p>
      <w:pPr>
        <w:pStyle w:val="Normal"/>
        <w:ind w:start="3960" w:end="0"/>
        <w:rPr/>
      </w:pPr>
      <w:r>
        <w:rPr/>
        <w:t>Washington, D.C.  20006</w:t>
      </w:r>
    </w:p>
    <w:p>
      <w:pPr>
        <w:pStyle w:val="Normal"/>
        <w:ind w:start="3960" w:end="0"/>
        <w:rPr/>
      </w:pPr>
      <w:r>
        <w:rPr/>
        <w:t>(202) 429-2327</w:t>
      </w:r>
    </w:p>
    <w:p>
      <w:pPr>
        <w:pStyle w:val="Normal"/>
        <w:ind w:start="3960" w:end="0"/>
        <w:rPr/>
      </w:pPr>
      <w:r>
        <w:rPr/>
      </w:r>
    </w:p>
    <w:p>
      <w:pPr>
        <w:pStyle w:val="Normal"/>
        <w:ind w:start="3960" w:end="0"/>
        <w:rPr>
          <w:i/>
          <w:i/>
        </w:rPr>
      </w:pPr>
      <w:r>
        <w:rPr>
          <w:i/>
        </w:rPr>
        <w:t xml:space="preserve">Counsel for </w:t>
      </w:r>
    </w:p>
    <w:p>
      <w:pPr>
        <w:pStyle w:val="Normal"/>
        <w:ind w:start="3960" w:end="0"/>
        <w:rPr>
          <w:i/>
          <w:i/>
        </w:rPr>
      </w:pPr>
      <w:r>
        <w:rPr>
          <w:i/>
        </w:rPr>
        <w:t>PG&amp;E Energy Trading Corp. and</w:t>
      </w:r>
    </w:p>
    <w:p>
      <w:pPr>
        <w:pStyle w:val="Normal"/>
        <w:ind w:start="3960" w:end="0"/>
        <w:rPr>
          <w:i/>
          <w:i/>
        </w:rPr>
      </w:pPr>
      <w:r>
        <w:rPr>
          <w:i/>
        </w:rPr>
        <w:t>PG&amp;E Energy Trading Power, L.P.</w:t>
      </w:r>
    </w:p>
    <w:p>
      <w:pPr>
        <w:pStyle w:val="Normal"/>
        <w:ind w:start="3960" w:end="0"/>
        <w:rPr/>
      </w:pPr>
      <w:r>
        <w:rPr/>
      </w:r>
    </w:p>
    <w:p>
      <w:pPr>
        <w:pStyle w:val="Normal"/>
        <w:ind w:start="3960" w:end="0"/>
        <w:rPr/>
      </w:pPr>
      <w:r>
        <w:rPr/>
      </w:r>
    </w:p>
    <w:p>
      <w:pPr>
        <w:pStyle w:val="Normal"/>
        <w:ind w:start="3960" w:end="0"/>
        <w:rPr/>
      </w:pPr>
      <w:r>
        <w:rPr/>
      </w:r>
    </w:p>
    <w:p>
      <w:pPr>
        <w:pStyle w:val="Normal"/>
        <w:ind w:start="3960" w:end="0"/>
        <w:rPr/>
      </w:pPr>
      <w:r>
        <w:rPr/>
        <w:t>David Schwartz, Esq.</w:t>
      </w:r>
    </w:p>
    <w:p>
      <w:pPr>
        <w:pStyle w:val="Normal"/>
        <w:ind w:start="3960" w:end="0"/>
        <w:rPr/>
      </w:pPr>
      <w:r>
        <w:rPr/>
        <w:t>Michael Gergen, Esq.</w:t>
      </w:r>
    </w:p>
    <w:p>
      <w:pPr>
        <w:pStyle w:val="Normal"/>
        <w:ind w:start="3960" w:end="0"/>
        <w:rPr/>
      </w:pPr>
      <w:r>
        <w:rPr/>
        <w:t>Latham &amp; Watkins</w:t>
      </w:r>
    </w:p>
    <w:p>
      <w:pPr>
        <w:pStyle w:val="Normal"/>
        <w:ind w:start="3960" w:end="0"/>
        <w:rPr/>
      </w:pPr>
      <w:r>
        <w:rPr/>
        <w:t>1001 Pennsylvania Avenue, N.W., Suite 1300</w:t>
      </w:r>
    </w:p>
    <w:p>
      <w:pPr>
        <w:pStyle w:val="Normal"/>
        <w:ind w:start="3960" w:end="0"/>
        <w:rPr/>
      </w:pPr>
      <w:r>
        <w:rPr/>
        <w:t>Washington, D.C.  20004</w:t>
      </w:r>
    </w:p>
    <w:p>
      <w:pPr>
        <w:pStyle w:val="Normal"/>
        <w:ind w:start="3960" w:end="0"/>
        <w:rPr/>
      </w:pPr>
      <w:r>
        <w:rPr/>
        <w:t>(202) 637-2200</w:t>
      </w:r>
    </w:p>
    <w:p>
      <w:pPr>
        <w:pStyle w:val="Normal"/>
        <w:ind w:start="3960" w:end="0"/>
        <w:rPr/>
      </w:pPr>
      <w:r>
        <w:rPr/>
      </w:r>
    </w:p>
    <w:p>
      <w:pPr>
        <w:pStyle w:val="Normal"/>
        <w:ind w:start="3960" w:end="0"/>
        <w:rPr>
          <w:i/>
          <w:i/>
        </w:rPr>
      </w:pPr>
      <w:r>
        <w:rPr>
          <w:i/>
        </w:rPr>
        <w:t>Counsel for</w:t>
      </w:r>
    </w:p>
    <w:p>
      <w:pPr>
        <w:pStyle w:val="Normal"/>
        <w:ind w:start="3960" w:end="0"/>
        <w:rPr>
          <w:i/>
          <w:i/>
        </w:rPr>
      </w:pPr>
      <w:r>
        <w:rPr>
          <w:i/>
        </w:rPr>
        <w:t>Sithe Power Marketing, Inc.</w:t>
      </w:r>
    </w:p>
    <w:p>
      <w:pPr>
        <w:pStyle w:val="Normal"/>
        <w:ind w:start="3960" w:end="0"/>
        <w:rPr/>
      </w:pPr>
      <w:r>
        <w:rPr/>
      </w:r>
    </w:p>
    <w:p>
      <w:pPr>
        <w:pStyle w:val="Normal"/>
        <w:ind w:start="3960" w:end="0"/>
        <w:rPr/>
      </w:pPr>
      <w:r>
        <w:rPr/>
      </w:r>
    </w:p>
    <w:p>
      <w:pPr>
        <w:pStyle w:val="Normal"/>
        <w:ind w:start="3960" w:end="0"/>
        <w:rPr/>
      </w:pPr>
      <w:r>
        <w:rPr/>
      </w:r>
    </w:p>
    <w:p>
      <w:pPr>
        <w:pStyle w:val="Normal"/>
        <w:ind w:start="3960" w:end="0"/>
        <w:rPr/>
      </w:pPr>
      <w:r>
        <w:rPr/>
        <w:t>David M. Perlman, Esq.</w:t>
      </w:r>
    </w:p>
    <w:p>
      <w:pPr>
        <w:pStyle w:val="Normal"/>
        <w:ind w:start="3960" w:end="0"/>
        <w:rPr/>
      </w:pPr>
      <w:r>
        <w:rPr/>
        <w:t>Vice, President, General Counsel and Secretary</w:t>
      </w:r>
    </w:p>
    <w:p>
      <w:pPr>
        <w:pStyle w:val="Normal"/>
        <w:ind w:start="3960" w:end="0"/>
        <w:rPr/>
      </w:pPr>
      <w:r>
        <w:rPr/>
        <w:t>Randall Osteen, Esq.</w:t>
      </w:r>
    </w:p>
    <w:p>
      <w:pPr>
        <w:pStyle w:val="Normal"/>
        <w:ind w:start="3960" w:end="0"/>
        <w:rPr/>
      </w:pPr>
      <w:r>
        <w:rPr/>
        <w:t>Constellation Power Source</w:t>
      </w:r>
    </w:p>
    <w:p>
      <w:pPr>
        <w:pStyle w:val="Normal"/>
        <w:ind w:start="3960" w:end="0"/>
        <w:rPr/>
      </w:pPr>
      <w:r>
        <w:rPr/>
        <w:t>111 Market Place, Suite 500</w:t>
      </w:r>
    </w:p>
    <w:p>
      <w:pPr>
        <w:pStyle w:val="Normal"/>
        <w:ind w:start="3960" w:end="0"/>
        <w:rPr/>
      </w:pPr>
      <w:r>
        <w:rPr/>
        <w:t>Baltimore, Maryland  21202</w:t>
      </w:r>
    </w:p>
    <w:p>
      <w:pPr>
        <w:pStyle w:val="Normal"/>
        <w:ind w:start="3960" w:end="0"/>
        <w:rPr/>
      </w:pPr>
      <w:r>
        <w:rPr/>
        <w:t>(410) 468-3490</w:t>
      </w:r>
    </w:p>
    <w:p>
      <w:pPr>
        <w:pStyle w:val="Normal"/>
        <w:ind w:start="3960" w:end="0"/>
        <w:rPr/>
      </w:pPr>
      <w:r>
        <w:rPr/>
      </w:r>
    </w:p>
    <w:p>
      <w:pPr>
        <w:pStyle w:val="Normal"/>
        <w:ind w:start="3960" w:end="0"/>
        <w:rPr>
          <w:i/>
          <w:i/>
        </w:rPr>
      </w:pPr>
      <w:r>
        <w:rPr>
          <w:i/>
        </w:rPr>
        <w:t>Counsel for</w:t>
      </w:r>
    </w:p>
    <w:p>
      <w:pPr>
        <w:pStyle w:val="Normal"/>
        <w:ind w:start="3960" w:end="0"/>
        <w:rPr>
          <w:i/>
          <w:i/>
        </w:rPr>
      </w:pPr>
      <w:r>
        <w:rPr>
          <w:i/>
        </w:rPr>
        <w:t>Constellation Energy Source, Inc. and</w:t>
      </w:r>
    </w:p>
    <w:p>
      <w:pPr>
        <w:pStyle w:val="Normal"/>
        <w:ind w:start="3960" w:end="0"/>
        <w:rPr>
          <w:i/>
          <w:i/>
        </w:rPr>
      </w:pPr>
      <w:r>
        <w:rPr>
          <w:i/>
        </w:rPr>
        <w:t>Constellation Power Sources, Inc.</w:t>
      </w:r>
    </w:p>
    <w:p>
      <w:pPr>
        <w:pStyle w:val="Normal"/>
        <w:ind w:start="3960" w:end="0"/>
        <w:rPr/>
      </w:pPr>
      <w:r>
        <w:rPr/>
      </w:r>
    </w:p>
    <w:p>
      <w:pPr>
        <w:pStyle w:val="Normal"/>
        <w:ind w:start="3960" w:end="0"/>
        <w:rPr>
          <w:b/>
        </w:rPr>
      </w:pPr>
      <w:r>
        <w:rPr>
          <w:b/>
        </w:rPr>
        <w:t>[ADD OTHERS]</w:t>
      </w:r>
    </w:p>
    <w:p>
      <w:pPr>
        <w:pStyle w:val="Normal"/>
        <w:ind w:start="3960" w:end="0"/>
        <w:rPr>
          <w:b/>
        </w:rPr>
      </w:pPr>
      <w:r>
        <w:rPr>
          <w:b/>
        </w:rPr>
      </w:r>
    </w:p>
    <w:p>
      <w:pPr>
        <w:pStyle w:val="Normal"/>
        <w:rPr/>
      </w:pPr>
      <w:r>
        <w:rPr/>
        <w:t>Dated:</w:t>
        <w:tab/>
        <w:t>June 28, 1999</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firstLine="720" w:end="0"/>
        <w:rPr/>
      </w:pPr>
      <w:r>
        <w:rPr>
          <w:rStyle w:val="FootnoteCharacters"/>
        </w:rPr>
        <w:footnoteRef/>
      </w:r>
      <w:r>
        <w:rPr/>
        <w:t xml:space="preserve"> </w:t>
      </w:r>
      <w:r>
        <w:rPr/>
        <w:tab/>
        <w:t xml:space="preserve">In addition, if the filing requirements proposed in the Order are implemented, companies in the wholesale electric marketplace will have to devote significant resources to upgrade their accounting systems to accurately capture the additional risks associated with the filing requirements.  Long-term contracts will have to be accounted for in a totally separate fashion from short-term transactions.   Of course, these additional capital expenditures to upgrade accounting systems will only increase the cost of electricity for the consumer.  </w:t>
      </w:r>
    </w:p>
  </w:footnote>
  <w:footnote w:id="3">
    <w:p>
      <w:pPr>
        <w:pStyle w:val="Normal"/>
        <w:spacing w:before="0" w:after="120"/>
        <w:ind w:firstLine="720" w:end="0"/>
        <w:rPr/>
      </w:pPr>
      <w:r>
        <w:rPr>
          <w:rStyle w:val="FootnoteCharacters"/>
        </w:rPr>
        <w:footnoteRef/>
      </w:r>
      <w:r>
        <w:rPr>
          <w:sz w:val="20"/>
        </w:rPr>
        <w:t xml:space="preserve"> </w:t>
      </w:r>
      <w:r>
        <w:rPr>
          <w:sz w:val="20"/>
        </w:rPr>
        <w:tab/>
      </w:r>
      <w:r>
        <w:rPr>
          <w:sz w:val="20"/>
          <w:lang w:eastAsia="en-US"/>
        </w:rPr>
        <w:t>Financial accounting requirements are predicated upon the conclusion that wholesale electricity contracts are measured and valued in the most relevant manner using mark-to-market accounting.  Financial Accounting Standards Board (FASB) Statement No. 133, which is expected to become effective in 2000, requires mark-to-market accounting for contracts meeting the definition of a derivative, including wholesale electricity contracts.  Further, the FASB's Emerging Issues Task Force (EITF) Issue 98-10 presently requires any forward electricity contracts that are used for trading purposes (the majority of forward contracts executed by power marketers and the trading arms of utilities) to be marked to market.  Both of these accounting requirements reflect the fact that forward electricity contracts expose the contracting parties to electricity market price risk, which is best measured and reported in general purpose audited financial statements on a mark-to-market basis.</w:t>
      </w:r>
    </w:p>
  </w:footnote>
  <w:footnote w:id="4">
    <w:p>
      <w:pPr>
        <w:pStyle w:val="FootnoteText"/>
        <w:spacing w:before="0" w:after="120"/>
        <w:ind w:firstLine="720" w:end="0"/>
        <w:rPr/>
      </w:pPr>
      <w:r>
        <w:rPr>
          <w:rStyle w:val="FootnoteCharacters"/>
        </w:rPr>
        <w:footnoteRef/>
      </w:r>
      <w:r>
        <w:rPr/>
        <w:t xml:space="preserve"> </w:t>
      </w:r>
      <w:r>
        <w:rPr/>
        <w:tab/>
        <w:t xml:space="preserve">Typically power marketers do not themselves obtain credit ratings.  </w:t>
      </w:r>
    </w:p>
  </w:footnote>
  <w:footnote w:id="5">
    <w:p>
      <w:pPr>
        <w:pStyle w:val="FootnoteText"/>
        <w:spacing w:before="0" w:after="120"/>
        <w:ind w:firstLine="720" w:end="0"/>
        <w:rPr/>
      </w:pPr>
      <w:r>
        <w:rPr>
          <w:rStyle w:val="FootnoteCharacters"/>
        </w:rPr>
        <w:footnoteRef/>
      </w:r>
      <w:r>
        <w:rPr/>
        <w:t xml:space="preserve"> </w:t>
      </w:r>
      <w:r>
        <w:rPr/>
        <w:tab/>
        <w:t xml:space="preserve">Since the earliest market-based rate cases, FERC has recognized that increasing the ability of market participants to operate flexibly increases the efficiency of the market.  </w:t>
      </w:r>
      <w:r>
        <w:rPr>
          <w:i/>
        </w:rPr>
        <w:t>See, e.g., Citizens Power &amp; Light</w:t>
      </w:r>
      <w:r>
        <w:rPr/>
        <w:t>, 48 FERC ¶ 61,210 (1989) ("</w:t>
      </w:r>
      <w:r>
        <w:rPr>
          <w:lang w:eastAsia="en-US"/>
        </w:rPr>
        <w:t>Allowing Citizens Power the pricing flexibility it requests would undoubtedly permit it to respond quickly to changing market conditions and to be more effective. Pricing flexibility would also help to ensure that prices accurately reflect market conditions of scarcity or abundance and, to the extent it allows Citizens Power to succeed, it would further the Commission’s statutory goals of promoting efficiency and coordination.").</w:t>
      </w:r>
    </w:p>
  </w:footnote>
  <w:footnote w:id="6">
    <w:p>
      <w:pPr>
        <w:pStyle w:val="FootnoteText"/>
        <w:spacing w:before="0" w:after="120"/>
        <w:ind w:firstLine="720" w:end="0"/>
        <w:rPr/>
      </w:pPr>
      <w:r>
        <w:rPr>
          <w:rStyle w:val="FootnoteCharacters"/>
        </w:rPr>
        <w:footnoteRef/>
      </w:r>
      <w:r>
        <w:rPr/>
        <w:t xml:space="preserve"> </w:t>
      </w:r>
      <w:r>
        <w:rPr/>
        <w:tab/>
      </w:r>
      <w:r>
        <w:rPr>
          <w:color w:val="000000"/>
          <w:lang w:eastAsia="en-US"/>
        </w:rPr>
        <w:t xml:space="preserve">As the events of last summer in the Midwest dramatically demonstrated, inability to manage counter-party credit risk can have a material impact on the market.  As confirmed by the report prepared by the FERC Staff, the failure of several relatively small power marketers last summer set in motion a cascading series of defaults which, in turn, contributed to a sharp run-up in power prices. </w:t>
      </w:r>
      <w:r>
        <w:rPr>
          <w:i/>
          <w:color w:val="000000"/>
          <w:lang w:eastAsia="en-US"/>
        </w:rPr>
        <w:t xml:space="preserve">See </w:t>
      </w:r>
      <w:r>
        <w:rPr>
          <w:color w:val="000000"/>
          <w:lang w:eastAsia="en-US"/>
        </w:rPr>
        <w:t>"Staff Report to the Federal Energy Regulatory Commission on the Causes of Wholesale Electric Pricing Abnormalities in the Midwest During June 1998" (Sept. 22, 1998).</w:t>
      </w:r>
    </w:p>
  </w:footnote>
  <w:footnote w:id="7">
    <w:p>
      <w:pPr>
        <w:pStyle w:val="FootnoteText"/>
        <w:spacing w:before="0" w:after="120"/>
        <w:ind w:firstLine="720" w:end="0"/>
        <w:rPr/>
      </w:pPr>
      <w:r>
        <w:rPr>
          <w:rStyle w:val="FootnoteCharacters"/>
        </w:rPr>
        <w:footnoteRef/>
      </w:r>
      <w:r>
        <w:rPr/>
        <w:t xml:space="preserve"> </w:t>
      </w:r>
      <w:r>
        <w:rPr/>
        <w:tab/>
        <w:t xml:space="preserve">Similarly, long-term contracts for non-firm power may contain sensitive information not needed by the market, but highly prized by rivals.  An on-going contract for non-firm power may include the buyer's reservation price above which the parties would agree not to transact.  Such information could reflect the buyer's alternatives, including the economic conditions of its self-supply, in the case of some large industrial customers.  The rivals in the buyer's own line of business would find such information quite useful, but as discussed below revealing it to the electricity market would serve no public interest purpose. </w:t>
      </w:r>
    </w:p>
  </w:footnote>
  <w:footnote w:id="8">
    <w:p>
      <w:pPr>
        <w:pStyle w:val="FootnoteText"/>
        <w:spacing w:before="0" w:after="120"/>
        <w:ind w:firstLine="720" w:end="0"/>
        <w:rPr/>
      </w:pPr>
      <w:r>
        <w:rPr>
          <w:rStyle w:val="FootnoteCharacters"/>
        </w:rPr>
        <w:footnoteRef/>
      </w:r>
      <w:r>
        <w:rPr/>
        <w:t xml:space="preserve"> </w:t>
      </w:r>
      <w:r>
        <w:rPr/>
        <w:tab/>
        <w:t xml:space="preserve">The wholesale electric market today is not highly concentrated, as evidenced by the Commission's success in promoting its market-based pricing program over the last decade.  In such circumstances, the market itself provides adequate protection against undue price discrimination.  Information about spot prices and futures prices provide valuable information to customers of all sizes in evaluating proposed prices and terms and conditions in private contracts.  </w:t>
      </w:r>
    </w:p>
  </w:footnote>
  <w:footnote w:id="9">
    <w:p>
      <w:pPr>
        <w:pStyle w:val="FootnoteText"/>
        <w:rPr/>
      </w:pPr>
      <w:r>
        <w:rPr>
          <w:rStyle w:val="FootnoteCharacters"/>
        </w:rPr>
        <w:footnoteRef/>
      </w:r>
      <w:r>
        <w:rPr/>
        <w:t xml:space="preserve"> </w:t>
      </w:r>
      <w:r>
        <w:rPr/>
        <w:tab/>
        <w:t>These include today the Pennsylvania-New Jersey-Maryland (“PJM”) pool, the California/Oregon border contracts, Palo Verde contracts, CINergy contracts, and Entergy contracts.</w:t>
      </w:r>
    </w:p>
  </w:footnote>
  <w:footnote w:id="10">
    <w:p>
      <w:pPr>
        <w:pStyle w:val="FootnoteText"/>
        <w:spacing w:before="0" w:after="120"/>
        <w:ind w:firstLine="720" w:end="0"/>
        <w:rPr/>
      </w:pPr>
      <w:r>
        <w:rPr>
          <w:rStyle w:val="FootnoteCharacters"/>
        </w:rPr>
        <w:footnoteRef/>
      </w:r>
      <w:r>
        <w:rPr/>
        <w:t xml:space="preserve"> </w:t>
      </w:r>
      <w:r>
        <w:rPr/>
        <w:tab/>
        <w:t xml:space="preserve">Specifically, FERC eliminated the requirement to post names of employees below the management level.  Several utilities had claimed, </w:t>
      </w:r>
      <w:r>
        <w:rPr>
          <w:i/>
        </w:rPr>
        <w:t>inter alia</w:t>
      </w:r>
      <w:r>
        <w:rPr/>
        <w:t>, that posting of such names would make it easier for the utility's competitors to hire away junior employees.</w:t>
      </w:r>
    </w:p>
  </w:footnote>
  <w:footnote w:id="11">
    <w:p>
      <w:pPr>
        <w:pStyle w:val="FootnoteText"/>
        <w:spacing w:before="0" w:after="120"/>
        <w:ind w:firstLine="720" w:end="0"/>
        <w:rPr/>
      </w:pPr>
      <w:r>
        <w:rPr>
          <w:rStyle w:val="FootnoteCharacters"/>
        </w:rPr>
        <w:footnoteRef/>
      </w:r>
      <w:r>
        <w:rPr/>
        <w:t xml:space="preserve"> </w:t>
      </w:r>
      <w:r>
        <w:rPr/>
        <w:tab/>
        <w:t xml:space="preserve">In fact, FERC has never articulated a reasoned basis for requiring the filing of long-term agreements by </w:t>
      </w:r>
      <w:r>
        <w:rPr>
          <w:i/>
        </w:rPr>
        <w:t>any</w:t>
      </w:r>
      <w:r>
        <w:rPr/>
        <w:t xml:space="preserve"> entity transacting at market-based rates, asset-based or not.  As much as anything, the requirement is a historical accident, stemming from the decision of a single company (Southern Companies in the original decision in this proceeding, </w:t>
      </w:r>
      <w:r>
        <w:rPr>
          <w:i/>
        </w:rPr>
        <w:t>Southern Co. Servs.</w:t>
      </w:r>
      <w:r>
        <w:rPr/>
        <w:t xml:space="preserve">, 75 FERC ¶ 61,130 (1996)) to propose a bifurcation in which it would obtain waiver of the requirement for short-term agreements but not for long-term agreements.  FERC has never formulated any policy basis or other rationale for requiring the filing of long-term agreements—it simply adopted Southern Companies' original proposal, without significant substantive discussion, and has applied it since that time as an established rule.  If FERC chooses to perpetuate this requirement, then at a minimum it should articulate a reasoned basis why the benefits of filing of long-term agreements outweighs the harm disclosure will cause to the competitive marketplace.  </w:t>
      </w:r>
      <w:r>
        <w:rPr>
          <w:b/>
        </w:rPr>
        <w:t>[CITE to cases on reasoned decision-making]</w:t>
      </w:r>
    </w:p>
  </w:footnote>
  <w:footnote w:id="12">
    <w:p>
      <w:pPr>
        <w:pStyle w:val="FootnoteText"/>
        <w:spacing w:before="0" w:after="120"/>
        <w:ind w:firstLine="720" w:end="0"/>
        <w:rPr/>
      </w:pPr>
      <w:r>
        <w:rPr>
          <w:rStyle w:val="FootnoteCharacters"/>
        </w:rPr>
        <w:footnoteRef/>
      </w:r>
      <w:r>
        <w:rPr/>
        <w:t xml:space="preserve"> </w:t>
      </w:r>
      <w:r>
        <w:rPr/>
        <w:tab/>
      </w:r>
      <w:r>
        <w:rPr>
          <w:b/>
        </w:rPr>
        <w:t>[Cite to cases which require consideration of all relevant factors as part of reasoned decision-making and noting competitive affects are a relevant factor under FPA.]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of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at </w:t>
    </w:r>
    <w:r>
      <w:rPr>
        <w:b/>
        <w:sz w:val="20"/>
      </w:rPr>
      <w:fldChar w:fldCharType="begin"/>
    </w:r>
    <w:r>
      <w:rPr>
        <w:sz w:val="20"/>
        <w:b/>
      </w:rPr>
      <w:instrText xml:space="preserve"> TIME \@"H:mm\ AM/PM" </w:instrText>
    </w:r>
    <w:r>
      <w:rPr>
        <w:sz w:val="20"/>
        <w:b/>
      </w:rPr>
      <w:fldChar w:fldCharType="separate"/>
    </w:r>
    <w:r>
      <w:rPr>
        <w:sz w:val="20"/>
        <w:b/>
      </w:rPr>
      <w:t>9:36 AM</w:t>
    </w:r>
    <w:r>
      <w:rPr>
        <w:sz w:val="20"/>
        <w:b/>
      </w:rPr>
      <w:fldChar w:fldCharType="end"/>
    </w:r>
    <w:r>
      <w:rPr>
        <w:b/>
        <w:sz w:val="20"/>
      </w:rPr>
      <w:t>, # 76746</w:t>
    </w:r>
  </w:p>
  <w:p>
    <w:pPr>
      <w:pStyle w:val="Header"/>
      <w:jc w:val="end"/>
      <w:rPr>
        <w:b/>
        <w:sz w:val="20"/>
      </w:rPr>
    </w:pPr>
    <w:r>
      <w:rPr>
        <w:b/>
        <w:sz w:val="20"/>
      </w:rPr>
      <w:t>Privileged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DB Draft of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r>
      <w:rPr>
        <w:b/>
        <w:sz w:val="20"/>
      </w:rPr>
      <w:t xml:space="preserve"> at </w:t>
    </w:r>
    <w:r>
      <w:rPr>
        <w:b/>
        <w:sz w:val="20"/>
      </w:rPr>
      <w:fldChar w:fldCharType="begin"/>
    </w:r>
    <w:r>
      <w:rPr>
        <w:sz w:val="20"/>
        <w:b/>
      </w:rPr>
      <w:instrText xml:space="preserve"> TIME \@"H:mm\ AM/PM" </w:instrText>
    </w:r>
    <w:r>
      <w:rPr>
        <w:sz w:val="20"/>
        <w:b/>
      </w:rPr>
      <w:fldChar w:fldCharType="separate"/>
    </w:r>
    <w:r>
      <w:rPr>
        <w:sz w:val="20"/>
        <w:b/>
      </w:rPr>
      <w:t>9:36 AM</w:t>
    </w:r>
    <w:r>
      <w:rPr>
        <w:sz w:val="20"/>
        <w:b/>
      </w:rPr>
      <w:fldChar w:fldCharType="end"/>
    </w:r>
    <w:r>
      <w:rPr>
        <w:b/>
        <w:sz w:val="20"/>
      </w:rPr>
      <w:t>, # 76746</w:t>
    </w:r>
  </w:p>
  <w:p>
    <w:pPr>
      <w:pStyle w:val="Header"/>
      <w:jc w:val="end"/>
      <w:rPr>
        <w:b/>
        <w:sz w:val="20"/>
      </w:rPr>
    </w:pPr>
    <w:r>
      <w:rPr>
        <w:b/>
        <w:sz w:val="20"/>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style>
  <w:style w:type="paragraph" w:styleId="Heading6">
    <w:name w:val="heading 6"/>
    <w:basedOn w:val="Normal"/>
    <w:next w:val="Normal"/>
    <w:qFormat/>
    <w:pPr>
      <w:keepNext w:val="true"/>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Times New Roman;Times New Roman" w:hAnsi="Times New Roman;Times New Roman" w:cs="Times New Roman;Times New Roman"/>
      <w:b w:val="false"/>
      <w:i w:val="false"/>
      <w:caps/>
      <w:sz w:val="24"/>
    </w:rPr>
  </w:style>
  <w:style w:type="character" w:styleId="WW8Num5z1">
    <w:name w:val="WW8Num5z1"/>
    <w:qFormat/>
    <w:rPr>
      <w:rFonts w:ascii="Times New Roman;Times New Roman" w:hAnsi="Times New Roman;Times New Roman" w:cs="Times New Roman;Times New Roman"/>
      <w:b w:val="false"/>
      <w:i w:val="false"/>
      <w:sz w:val="24"/>
    </w:rPr>
  </w:style>
  <w:style w:type="character" w:styleId="WW8Num6z0">
    <w:name w:val="WW8Num6z0"/>
    <w:qFormat/>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90" w:start="720" w:end="0"/>
      <w:jc w:val="both"/>
    </w:pPr>
    <w:rPr>
      <w:sz w:val="20"/>
    </w:rPr>
  </w:style>
  <w:style w:type="paragraph" w:styleId="BodyTextIndent2">
    <w:name w:val="Body Text Indent 2"/>
    <w:basedOn w:val="Normal"/>
    <w:qFormat/>
    <w:pPr>
      <w:ind w:firstLine="720" w:start="0" w:end="0"/>
    </w:pPr>
    <w:rPr>
      <w:sz w:val="22"/>
    </w:rPr>
  </w:style>
  <w:style w:type="paragraph" w:styleId="FootnoteText">
    <w:name w:val="footnote text"/>
    <w:basedOn w:val="Normal"/>
    <w:pPr/>
    <w:rPr>
      <w:sz w:val="20"/>
    </w:rPr>
  </w:style>
  <w:style w:type="paragraph" w:styleId="BodyTextIndent3">
    <w:name w:val="Body Text Indent 3"/>
    <w:basedOn w:val="Normal"/>
    <w:qFormat/>
    <w:pPr>
      <w:spacing w:lineRule="auto" w:line="480"/>
      <w:ind w:firstLine="1440" w:start="0" w:end="0"/>
    </w:pPr>
    <w:rPr/>
  </w:style>
  <w:style w:type="paragraph" w:styleId="bullet1">
    <w:name w:val="bullet1"/>
    <w:basedOn w:val="Normal"/>
    <w:qFormat/>
    <w:pPr>
      <w:numPr>
        <w:ilvl w:val="0"/>
        <w:numId w:val="3"/>
      </w:numPr>
      <w:spacing w:before="0" w:after="180"/>
      <w:ind w:hanging="432" w:start="1170" w:end="720"/>
      <w:jc w:val="both"/>
    </w:pPr>
    <w:rPr>
      <w:rFonts w:ascii="Arial" w:hAnsi="Arial" w:cs="Arial"/>
      <w:spacing w:val="-2"/>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1999-06-24T13:38:00Z</dcterms:created>
  <dc:creator>SYMONSN</dc:creator>
  <dc:description/>
  <cp:keywords>76746</cp:keywords>
  <dc:language>en-CA</dc:language>
  <cp:lastModifiedBy>  </cp:lastModifiedBy>
  <cp:lastPrinted>1999-06-24T12:02:00Z</cp:lastPrinted>
  <dcterms:modified xsi:type="dcterms:W3CDTF">1999-06-24T13:38:00Z</dcterms:modified>
  <cp:revision>2</cp:revision>
  <dc:subject/>
  <dc:title>Outline</dc:title>
</cp:coreProperties>
</file>