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BEFORE THE UNITED STATES OF AMERICA</w:t>
      </w:r>
    </w:p>
    <w:p>
      <w:pPr>
        <w:pStyle w:val="Normal"/>
        <w:jc w:val="center"/>
        <w:rPr>
          <w:b/>
          <w:bCs/>
        </w:rPr>
      </w:pPr>
      <w:r>
        <w:rPr>
          <w:b/>
          <w:bCs/>
        </w:rPr>
        <w:t>FEDERAL ENERGY REGULATORY COMMISSION</w:t>
      </w:r>
    </w:p>
    <w:p>
      <w:pPr>
        <w:pStyle w:val="Normal"/>
        <w:jc w:val="center"/>
        <w:rPr>
          <w:b/>
          <w:bCs/>
        </w:rPr>
      </w:pPr>
      <w:r>
        <w:rPr>
          <w:b/>
          <w:bCs/>
        </w:rPr>
      </w:r>
    </w:p>
    <w:p>
      <w:pPr>
        <w:pStyle w:val="Normal"/>
        <w:jc w:val="center"/>
        <w:rPr/>
      </w:pPr>
      <w:r>
        <w:rPr/>
      </w:r>
    </w:p>
    <w:p>
      <w:pPr>
        <w:pStyle w:val="Normal"/>
        <w:jc w:val="both"/>
        <w:rPr/>
      </w:pPr>
      <w:r>
        <w:rPr/>
        <w:t>Reporting of Natural Gas Sales to the</w:t>
        <w:tab/>
        <w:tab/>
        <w:t>}</w:t>
      </w:r>
    </w:p>
    <w:p>
      <w:pPr>
        <w:pStyle w:val="Normal"/>
        <w:jc w:val="both"/>
        <w:rPr/>
      </w:pPr>
      <w:r>
        <w:rPr/>
        <w:t>California Market</w:t>
        <w:tab/>
        <w:tab/>
        <w:tab/>
        <w:tab/>
        <w:t>}</w:t>
        <w:tab/>
        <w:t>Docket No. RM01-9-00_</w:t>
      </w:r>
    </w:p>
    <w:p>
      <w:pPr>
        <w:pStyle w:val="Normal"/>
        <w:jc w:val="both"/>
        <w:rPr/>
      </w:pPr>
      <w:r>
        <w:rPr/>
      </w:r>
    </w:p>
    <w:p>
      <w:pPr>
        <w:pStyle w:val="Normal"/>
        <w:jc w:val="both"/>
        <w:rPr/>
      </w:pPr>
      <w:r>
        <w:rPr/>
      </w:r>
    </w:p>
    <w:p>
      <w:pPr>
        <w:pStyle w:val="Normal"/>
        <w:jc w:val="center"/>
        <w:rPr>
          <w:b/>
          <w:bCs/>
        </w:rPr>
      </w:pPr>
      <w:r>
        <w:rPr>
          <w:b/>
          <w:bCs/>
        </w:rPr>
        <w:t>REQUEST FOR REHEARING OF ENRON CORP.</w:t>
      </w:r>
    </w:p>
    <w:p>
      <w:pPr>
        <w:pStyle w:val="Normal"/>
        <w:jc w:val="center"/>
        <w:rPr>
          <w:b/>
          <w:bCs/>
        </w:rPr>
      </w:pPr>
      <w:r>
        <w:rPr>
          <w:b/>
          <w:bCs/>
        </w:rPr>
        <w:t>OF ORDER ON REHEARING</w:t>
      </w:r>
    </w:p>
    <w:p>
      <w:pPr>
        <w:pStyle w:val="Normal"/>
        <w:jc w:val="center"/>
        <w:rPr>
          <w:b/>
          <w:bCs/>
        </w:rPr>
      </w:pPr>
      <w:r>
        <w:rPr>
          <w:b/>
          <w:bCs/>
        </w:rPr>
      </w:r>
    </w:p>
    <w:p>
      <w:pPr>
        <w:pStyle w:val="Normal"/>
        <w:jc w:val="center"/>
        <w:rPr/>
      </w:pPr>
      <w:r>
        <w:rPr/>
      </w:r>
    </w:p>
    <w:p>
      <w:pPr>
        <w:pStyle w:val="BodyText"/>
        <w:rPr/>
      </w:pPr>
      <w:r>
        <w:rPr/>
        <w:tab/>
        <w:t>On October 11, 2001, the Federal Energy Regulatory Commission (“Commission”) issued an Order on Rehearing in the above-captioned docket.  In this docket, the Commission imposed a reporting requirement on natural gas sellers and transporters serving markets in California.  Enron North America Inc. and Enron Energy Service Inc. (jointly referred to herein as “Enron”) filed for rehearing of the order implementing the reporting requirements, which was issued on July 25, 2001.  In the October 11, 2001 order, the Commission issued a new directive in response to one of Enron’s requests for rehearing, and Enron hereby seeks rehearing of that new ruling.</w:t>
      </w:r>
    </w:p>
    <w:p>
      <w:pPr>
        <w:pStyle w:val="Normal"/>
        <w:spacing w:lineRule="auto" w:line="480"/>
        <w:jc w:val="both"/>
        <w:rPr/>
      </w:pPr>
      <w:r>
        <w:rPr/>
        <w:tab/>
        <w:t xml:space="preserve">In particular, Enron had argued in response to the initial notice in this proceeding and in its request for rehearing of the July 25 order, that the reporting requirements seek information on daily prices and volumes for gas transportation and purchase contracts associated with the sales contracts to California markets, and Enron manages its business on an aggregated basis which does not permit the daily, or even monthly, contract-to-contract tracking the reports contemplate.  Enron explained to the Commission that if it were to provide the information sought, it would have to make after-the-fact, arbitrary assignments of purchases and transportation arrangements to particular sales.  </w:t>
      </w:r>
    </w:p>
    <w:p>
      <w:pPr>
        <w:pStyle w:val="Normal"/>
        <w:spacing w:lineRule="auto" w:line="480"/>
        <w:ind w:firstLine="720" w:end="0"/>
        <w:jc w:val="both"/>
        <w:rPr/>
      </w:pPr>
      <w:r>
        <w:rPr/>
        <w:t>Enron explained that our systems are not designed to capture and produce reports in the manner the reporting requirements contemplate and that we manage our business, and should be required to report our transactional information, on an aggregated basis.</w:t>
      </w:r>
    </w:p>
    <w:p>
      <w:pPr>
        <w:pStyle w:val="Normal"/>
        <w:spacing w:lineRule="auto" w:line="480"/>
        <w:ind w:firstLine="720" w:end="0"/>
        <w:jc w:val="both"/>
        <w:rPr/>
      </w:pPr>
      <w:r>
        <w:rPr/>
        <w:t xml:space="preserve">In response to Enron’s argument, the Commission ruled in the Oct. 11 Rehearing Order that since Enron does not attribute purchases and transportation to individual sales contracts, it should report its transactions as if “all the contracts under which it purchases gas each day during a particular month supply the gas sold under all its sales contracts that month, whether in California or elsewhere.”  (Slip op at p. 10.)  The Commission explained, “[i]n effect, the purchases under each of the seller’s gas purchase contracts must be considered to have been prorated among each of the seller’s sales contracts, including both the California sales contracts identified in response to Question 2, and any other sales contract the seller might have.”  </w:t>
      </w:r>
      <w:r>
        <w:rPr>
          <w:i/>
          <w:iCs/>
        </w:rPr>
        <w:t>Ibid</w:t>
      </w:r>
      <w:r>
        <w:rPr/>
        <w:t>.</w:t>
      </w:r>
    </w:p>
    <w:p>
      <w:pPr>
        <w:pStyle w:val="Normal"/>
        <w:spacing w:lineRule="auto" w:line="480"/>
        <w:ind w:firstLine="720" w:end="0"/>
        <w:jc w:val="both"/>
        <w:rPr/>
      </w:pPr>
      <w:r>
        <w:rPr/>
        <w:t xml:space="preserve">The Commission’s directive, to prorate </w:t>
      </w:r>
      <w:r>
        <w:rPr>
          <w:i/>
          <w:iCs/>
        </w:rPr>
        <w:t>all</w:t>
      </w:r>
      <w:r>
        <w:rPr/>
        <w:t xml:space="preserve"> purchase and transportation contracts that Enron does business under in a given month, to all of its sales contracts in that month, is extremely problematic.  First, this broadens the scope of the reporting requirements so that we must capture and report in some manner all of the business we do in the United States (and we assume the Commission is not intending to capture transactions which are outside the United States), which is certainly beyond the scope and contemplation of the reporting requirements for sales of gas into California.  If we develop a single “purchase price” and a “transportation price” that reflects a pro-rata share of all of our purchases and transportation transactions in the U.S., then Enron is forced to report far more information that contemplated in the rule, to wit, national prices as opposed to prices for sales into the California market.  And the inclusion of supply and transportation information from around the nation only serves to diminish the connection between actual transactional information relative to California and what we are including in our report.</w:t>
      </w:r>
    </w:p>
    <w:p>
      <w:pPr>
        <w:pStyle w:val="Normal"/>
        <w:spacing w:lineRule="auto" w:line="480"/>
        <w:ind w:firstLine="720" w:end="0"/>
        <w:jc w:val="both"/>
        <w:rPr/>
      </w:pPr>
      <w:r>
        <w:rPr/>
        <w:t xml:space="preserve">Our second concern with the Commission’s pro-rata directive is that it does not reflect transactional reality any more than the after-the-fact allocations of supply and transportation to particular sales would have done.  While we do not back-to-back our supply and transportation contracts to our sales contracts, neither is the aggregation method we use performed on a gross national basis.  We are not interested in explaining in detail our commercial operations in a public filing, however, we manage our business in regional “pools” and through regional desks, and these desks can handle supply pools, market pools or trading pools.  Pools can serve, or be served from a number of areas.  For example, a supply pool in west Texas can serve markets in the north, east or west.  But a supply pool in Louisiana or West Virginia would not be factored into California deliveries.  Therefore, the approach that the Commission has directed that we use, which would require Enron to maintain, in effect, a single national PGA, is completely arbitrary and would not reveal in any usable way the pricing and transportation costs to serve our California markets.  </w:t>
      </w:r>
    </w:p>
    <w:p>
      <w:pPr>
        <w:pStyle w:val="Normal"/>
        <w:spacing w:lineRule="auto" w:line="480"/>
        <w:ind w:firstLine="720" w:end="0"/>
        <w:jc w:val="both"/>
        <w:rPr/>
      </w:pPr>
      <w:r>
        <w:rPr/>
        <w:t>We argued before that Enron does not believe that in the Commission intended to radically alter the way marketers manage their business just so that reports can be made for a 6-month period of time.  Yet, that is what would be necessary if companies such as Enron were to be in full compliance with the reporting requirements as the Commission now interprets them, just as would have been the case if we were required to back to back our contracts after the fact.  If we develop information to be responsive to the data fields in the templates as has been clarified in the October 11 Rehearing Order, we will be making some arbitrary, after-the-fact determinations that a portion of all gas supplies were directed to certain markets, and that all transportation arrangements somehow supported California deliveries, using the national pro-rationing stipulated in that order.  This manufactured information will not provide the Commission a true picture of the California markets.  The Commission must therefore clarify that sellers of natural gas need file information that they have that is responsive to the questions, but that they do not have to create data or use artificial assumptions and allocations to generate figures to include in the report.</w:t>
      </w:r>
    </w:p>
    <w:p>
      <w:pPr>
        <w:pStyle w:val="Normal"/>
        <w:spacing w:lineRule="auto" w:line="480"/>
        <w:ind w:firstLine="720" w:end="0"/>
        <w:jc w:val="both"/>
        <w:rPr/>
      </w:pPr>
      <w:r>
        <w:rPr/>
        <w:t xml:space="preserve">*****(Note, can someone give me a description of what we </w:t>
      </w:r>
      <w:r>
        <w:rPr>
          <w:b/>
          <w:bCs/>
        </w:rPr>
        <w:t xml:space="preserve">could </w:t>
      </w:r>
      <w:r>
        <w:rPr/>
        <w:t>provide.  Perhaps if I tell them what we can give them, this would be a help to our argument.)</w:t>
      </w:r>
    </w:p>
    <w:p>
      <w:pPr>
        <w:pStyle w:val="Normal"/>
        <w:spacing w:lineRule="auto" w:line="480"/>
        <w:jc w:val="center"/>
        <w:rPr>
          <w:b/>
        </w:rPr>
      </w:pPr>
      <w:r>
        <w:rPr>
          <w:b/>
        </w:rPr>
        <w:t>Conclusion</w:t>
      </w:r>
    </w:p>
    <w:p>
      <w:pPr>
        <w:pStyle w:val="Normal"/>
        <w:spacing w:lineRule="auto" w:line="480"/>
        <w:jc w:val="both"/>
        <w:rPr/>
      </w:pPr>
      <w:r>
        <w:rPr/>
        <w:tab/>
        <w:t>WHEREFORE, Enron seeks rehearing of the requirement in the October 11, 2001 Order on Rehearing that would require Enron to prorate all of its purchases and transportation contracts to all of its sales contracts for the purposes of filing the Report of Natural Gas Sales to the California Market.</w:t>
      </w:r>
    </w:p>
    <w:p>
      <w:pPr>
        <w:pStyle w:val="Normal"/>
        <w:rPr/>
      </w:pPr>
      <w:r>
        <w:rPr/>
      </w:r>
    </w:p>
    <w:p>
      <w:pPr>
        <w:pStyle w:val="Normal"/>
        <w:rPr/>
      </w:pPr>
      <w:r>
        <w:rPr/>
        <w:t>Dated:    , 2001</w:t>
        <w:tab/>
        <w:tab/>
        <w:tab/>
        <w:tab/>
        <w:t>Respectfully submitted,</w:t>
      </w:r>
    </w:p>
    <w:p>
      <w:pPr>
        <w:pStyle w:val="Normal"/>
        <w:rPr/>
      </w:pPr>
      <w:r>
        <w:rPr/>
      </w:r>
    </w:p>
    <w:p>
      <w:pPr>
        <w:pStyle w:val="Normal"/>
        <w:rPr/>
      </w:pPr>
      <w:r>
        <w:rPr/>
      </w:r>
    </w:p>
    <w:p>
      <w:pPr>
        <w:pStyle w:val="Normal"/>
        <w:rPr/>
      </w:pPr>
      <w:r>
        <w:rPr/>
        <w:tab/>
        <w:tab/>
        <w:tab/>
        <w:tab/>
        <w:tab/>
        <w:tab/>
        <w:tab/>
        <w:t>Leslie Lawner,</w:t>
      </w:r>
    </w:p>
    <w:p>
      <w:pPr>
        <w:pStyle w:val="Normal"/>
        <w:rPr/>
      </w:pPr>
      <w:r>
        <w:rPr/>
        <w:tab/>
        <w:tab/>
        <w:tab/>
        <w:tab/>
        <w:tab/>
        <w:tab/>
        <w:tab/>
        <w:t>Director</w:t>
      </w:r>
    </w:p>
    <w:p>
      <w:pPr>
        <w:pStyle w:val="Normal"/>
        <w:rPr/>
      </w:pPr>
      <w:r>
        <w:rPr/>
        <w:tab/>
        <w:tab/>
        <w:tab/>
        <w:tab/>
        <w:tab/>
        <w:tab/>
        <w:tab/>
        <w:t>Enron Corp.</w:t>
      </w:r>
    </w:p>
    <w:p>
      <w:pPr>
        <w:pStyle w:val="Normal"/>
        <w:rPr/>
      </w:pPr>
      <w:r>
        <w:rPr/>
        <w:tab/>
        <w:tab/>
        <w:tab/>
        <w:tab/>
        <w:tab/>
        <w:tab/>
        <w:tab/>
        <w:t>712 North Lea</w:t>
      </w:r>
    </w:p>
    <w:p>
      <w:pPr>
        <w:pStyle w:val="Normal"/>
        <w:rPr/>
      </w:pPr>
      <w:r>
        <w:rPr/>
        <w:tab/>
        <w:tab/>
        <w:tab/>
        <w:tab/>
        <w:tab/>
        <w:tab/>
        <w:tab/>
        <w:t>Roswell, NM 88201</w:t>
      </w:r>
    </w:p>
    <w:p>
      <w:pPr>
        <w:pStyle w:val="Normal"/>
        <w:rPr/>
      </w:pPr>
      <w:r>
        <w:rPr/>
      </w:r>
    </w:p>
    <w:p>
      <w:pPr>
        <w:pStyle w:val="Normal"/>
        <w:spacing w:lineRule="auto" w:line="480"/>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2001-10-15T12:18:00Z</dcterms:created>
  <dc:creator>llawner</dc:creator>
  <dc:description/>
  <dc:language>en-CA</dc:language>
  <cp:lastModifiedBy>llawner</cp:lastModifiedBy>
  <cp:lastPrinted>2001-10-15T09:28:00Z</cp:lastPrinted>
  <dcterms:modified xsi:type="dcterms:W3CDTF">2001-10-15T13:23:00Z</dcterms:modified>
  <cp:revision>4</cp:revision>
  <dc:subject/>
  <dc:title>BEFORE THE UNITED STATES OF AMERICA</dc:title>
</cp:coreProperties>
</file>