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BEFORE THE UNITED STATES</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both"/>
        <w:rPr>
          <w:b/>
          <w:sz w:val="24"/>
        </w:rPr>
      </w:pPr>
      <w:r>
        <w:rPr>
          <w:b/>
          <w:sz w:val="24"/>
        </w:rPr>
        <w:t>DIALOG CONCERNING NATURAL GAS</w:t>
        <w:tab/>
        <w:t>}</w:t>
      </w:r>
    </w:p>
    <w:p>
      <w:pPr>
        <w:pStyle w:val="Normal"/>
        <w:jc w:val="both"/>
        <w:rPr>
          <w:b/>
          <w:sz w:val="24"/>
        </w:rPr>
      </w:pPr>
      <w:r>
        <w:rPr>
          <w:b/>
          <w:sz w:val="24"/>
        </w:rPr>
        <w:t xml:space="preserve">TRANSPORTATION POLICIES NEEDED </w:t>
        <w:tab/>
        <w:t>}</w:t>
        <w:tab/>
        <w:t>Docket No. PL00-1-000</w:t>
      </w:r>
    </w:p>
    <w:p>
      <w:pPr>
        <w:pStyle w:val="Normal"/>
        <w:jc w:val="both"/>
        <w:rPr>
          <w:b/>
          <w:sz w:val="24"/>
        </w:rPr>
      </w:pPr>
      <w:r>
        <w:rPr>
          <w:b/>
          <w:sz w:val="24"/>
        </w:rPr>
        <w:t>TO FACILITATE DEVELOPMENT OF</w:t>
        <w:tab/>
        <w:tab/>
        <w:t>}</w:t>
      </w:r>
    </w:p>
    <w:p>
      <w:pPr>
        <w:pStyle w:val="Normal"/>
        <w:jc w:val="both"/>
        <w:rPr>
          <w:b/>
          <w:sz w:val="24"/>
        </w:rPr>
      </w:pPr>
      <w:r>
        <w:rPr>
          <w:b/>
          <w:sz w:val="24"/>
        </w:rPr>
        <w:t>COMPETITIVE NATURAL GAS MARKETS</w:t>
        <w:tab/>
        <w:t>}</w:t>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jc w:val="center"/>
        <w:rPr/>
      </w:pPr>
      <w:r>
        <w:rPr>
          <w:b/>
          <w:sz w:val="24"/>
        </w:rPr>
        <w:t>ADDITIONAL COMMENTS OF ENRON NORTH AMERICA CORP</w:t>
      </w:r>
      <w:r>
        <w:rPr>
          <w:sz w:val="24"/>
        </w:rPr>
        <w:t xml:space="preserve">. </w:t>
      </w:r>
    </w:p>
    <w:p>
      <w:pPr>
        <w:pStyle w:val="Normal"/>
        <w:jc w:val="center"/>
        <w:rPr>
          <w:sz w:val="24"/>
        </w:rPr>
      </w:pPr>
      <w:r>
        <w:rPr>
          <w:sz w:val="24"/>
        </w:rPr>
      </w:r>
    </w:p>
    <w:p>
      <w:pPr>
        <w:pStyle w:val="Normal"/>
        <w:jc w:val="center"/>
        <w:rPr/>
      </w:pPr>
      <w:r>
        <w:rPr/>
      </w:r>
    </w:p>
    <w:p>
      <w:pPr>
        <w:pStyle w:val="BodyText"/>
        <w:spacing w:lineRule="auto" w:line="480"/>
        <w:ind w:firstLine="720" w:end="0"/>
        <w:rPr>
          <w:sz w:val="24"/>
        </w:rPr>
      </w:pPr>
      <w:r>
        <w:rPr>
          <w:sz w:val="24"/>
        </w:rPr>
        <w:t xml:space="preserve">Pursuant to the directive of the Commission Staff, Enron North America Corp (“Enron’) hereby files Additional Comments in response to the public conference held by the Commission on March 15, 2001.  The conference addressed whether the Commission’s regulatory policy with respect to pipeline affiliates and non-affiliates, as well as asset managers and agents, should be revised to reflect the changing nature of the gas market and whether there need to be revisions to the regulations relating to pipeline affiliates.  </w:t>
      </w:r>
    </w:p>
    <w:p>
      <w:pPr>
        <w:pStyle w:val="BodyText"/>
        <w:spacing w:lineRule="auto" w:line="480"/>
        <w:ind w:firstLine="720" w:end="0"/>
        <w:rPr>
          <w:sz w:val="24"/>
        </w:rPr>
      </w:pPr>
      <w:r>
        <w:rPr>
          <w:sz w:val="24"/>
        </w:rPr>
        <w:t>In Enron’s initial comments filed in this proceeding, we identified three broad principles which we felt should guide the reexamination of the marketing affiliate rules, and we believe those principles still provide the guidelines for action.  They are:</w:t>
      </w:r>
    </w:p>
    <w:p>
      <w:pPr>
        <w:pStyle w:val="BodyText"/>
        <w:numPr>
          <w:ilvl w:val="0"/>
          <w:numId w:val="1"/>
        </w:numPr>
        <w:tabs>
          <w:tab w:val="clear" w:pos="720"/>
          <w:tab w:val="left" w:pos="1080" w:leader="none"/>
        </w:tabs>
        <w:ind w:hanging="360" w:start="1080" w:end="0"/>
        <w:rPr>
          <w:sz w:val="24"/>
        </w:rPr>
      </w:pPr>
      <w:r>
        <w:rPr>
          <w:sz w:val="24"/>
        </w:rPr>
        <w:t>Finding the proper balance between restrictions on pipeline-affiliate interaction and hampering the marketplace;</w:t>
      </w:r>
    </w:p>
    <w:p>
      <w:pPr>
        <w:pStyle w:val="BodyText"/>
        <w:ind w:start="360" w:end="0"/>
        <w:rPr>
          <w:sz w:val="24"/>
        </w:rPr>
      </w:pPr>
      <w:r>
        <w:rPr>
          <w:sz w:val="24"/>
        </w:rPr>
      </w:r>
    </w:p>
    <w:p>
      <w:pPr>
        <w:pStyle w:val="BodyText"/>
        <w:numPr>
          <w:ilvl w:val="0"/>
          <w:numId w:val="1"/>
        </w:numPr>
        <w:tabs>
          <w:tab w:val="clear" w:pos="720"/>
          <w:tab w:val="left" w:pos="1080" w:leader="none"/>
        </w:tabs>
        <w:ind w:hanging="360" w:start="1080" w:end="0"/>
        <w:rPr>
          <w:sz w:val="24"/>
        </w:rPr>
      </w:pPr>
      <w:r>
        <w:rPr>
          <w:sz w:val="24"/>
        </w:rPr>
        <w:t>Ensuring that the rules do not stand in the way of vibrant and rapid market development, innovation and new technologies;</w:t>
      </w:r>
    </w:p>
    <w:p>
      <w:pPr>
        <w:pStyle w:val="BodyText"/>
        <w:ind w:start="360" w:end="0"/>
        <w:rPr>
          <w:sz w:val="24"/>
        </w:rPr>
      </w:pPr>
      <w:r>
        <w:rPr>
          <w:sz w:val="24"/>
        </w:rPr>
      </w:r>
    </w:p>
    <w:p>
      <w:pPr>
        <w:pStyle w:val="BodyText"/>
        <w:numPr>
          <w:ilvl w:val="0"/>
          <w:numId w:val="1"/>
        </w:numPr>
        <w:tabs>
          <w:tab w:val="clear" w:pos="720"/>
          <w:tab w:val="left" w:pos="1080" w:leader="none"/>
        </w:tabs>
        <w:ind w:hanging="360" w:start="1080" w:end="0"/>
        <w:rPr>
          <w:sz w:val="24"/>
        </w:rPr>
      </w:pPr>
      <w:r>
        <w:rPr>
          <w:sz w:val="24"/>
        </w:rPr>
        <w:t>Reexamining the definition of marketing affiliate to include all generation affiliates who might be in a position to receive preferential treatment.</w:t>
      </w:r>
    </w:p>
    <w:p>
      <w:pPr>
        <w:pStyle w:val="BodyText"/>
        <w:ind w:start="360" w:end="0"/>
        <w:rPr>
          <w:sz w:val="24"/>
        </w:rPr>
      </w:pPr>
      <w:r>
        <w:rPr>
          <w:sz w:val="24"/>
        </w:rPr>
      </w:r>
    </w:p>
    <w:p>
      <w:pPr>
        <w:pStyle w:val="BodyText"/>
        <w:keepNext w:val="true"/>
        <w:tabs>
          <w:tab w:val="left" w:pos="720" w:leader="none"/>
        </w:tabs>
        <w:spacing w:before="240" w:after="0"/>
        <w:ind w:hanging="720" w:start="720" w:end="0"/>
        <w:rPr/>
      </w:pPr>
      <w:r>
        <w:rPr>
          <w:sz w:val="24"/>
        </w:rPr>
        <w:t>A.</w:t>
        <w:tab/>
      </w:r>
      <w:r>
        <w:rPr>
          <w:sz w:val="24"/>
          <w:u w:val="single"/>
        </w:rPr>
        <w:t>Balancing The Need for Regulation of Affiliates Against the Impact on the Market.</w:t>
      </w:r>
    </w:p>
    <w:p>
      <w:pPr>
        <w:pStyle w:val="BodyText"/>
        <w:keepNext w:val="true"/>
        <w:ind w:start="360" w:end="0"/>
        <w:rPr>
          <w:sz w:val="24"/>
          <w:u w:val="single"/>
        </w:rPr>
      </w:pPr>
      <w:r>
        <w:rPr>
          <w:sz w:val="24"/>
          <w:u w:val="single"/>
        </w:rPr>
      </w:r>
    </w:p>
    <w:p>
      <w:pPr>
        <w:pStyle w:val="BodyText"/>
        <w:spacing w:lineRule="auto" w:line="480"/>
        <w:ind w:firstLine="720" w:end="0"/>
        <w:rPr>
          <w:sz w:val="24"/>
        </w:rPr>
      </w:pPr>
      <w:r>
        <w:rPr>
          <w:sz w:val="24"/>
        </w:rPr>
        <w:t xml:space="preserve">From an overall standpoint, Enron came away from the public conference with this question:  </w:t>
      </w:r>
    </w:p>
    <w:p>
      <w:pPr>
        <w:pStyle w:val="BodyText"/>
        <w:spacing w:before="0" w:after="240"/>
        <w:ind w:start="1440" w:end="990"/>
        <w:rPr>
          <w:sz w:val="24"/>
        </w:rPr>
      </w:pPr>
      <w:r>
        <w:rPr>
          <w:sz w:val="24"/>
        </w:rPr>
        <w:t xml:space="preserve">is there really a crisis of confidence in the industry, a belief that pipelines unfairly advantage their marketing affiliates, requiring a tightening of the rules, or are the non-affiliated marketers using this platform to lobby for rules that make it harder for their competitors to do business?  </w:t>
      </w:r>
    </w:p>
    <w:p>
      <w:pPr>
        <w:pStyle w:val="BodyText"/>
        <w:spacing w:lineRule="auto" w:line="480"/>
        <w:ind w:firstLine="720" w:end="0"/>
        <w:rPr>
          <w:sz w:val="24"/>
        </w:rPr>
      </w:pPr>
      <w:r>
        <w:rPr>
          <w:sz w:val="24"/>
        </w:rPr>
        <w:t>Enron strongly supports the concept that markets must operate, and be perceived to operate, in a fair, non-discriminatory fashion.  If evidence exists that the market is not fair and unfettered because of affiliate transactions, the public may lose trust that the marketplace is sending proper signals or is working fairly.  In this case, the Commission is obliged to take action, either generically or on a case-specific basis, to correct the problem.  But if no such evidence can be produced, then it is simply not appropriate, from legal, policy and economic perspectives, to tighten the market affiliate rules.  We submit that no hard evidence was brought forth at the conference and that until such time as it is produced, the Commission should not make any major changes to the rules.  As was well expressed at the conference, when evidence of abuse has come forward in the past, the Commission has been able to take decisive action against the miscreants.  There is no indication that the current rules leave any gaps in the Commission’s investigation and enforcement abilities.</w:t>
      </w:r>
    </w:p>
    <w:p>
      <w:pPr>
        <w:pStyle w:val="BodyText"/>
        <w:spacing w:lineRule="auto" w:line="480"/>
        <w:ind w:firstLine="720" w:end="0"/>
        <w:rPr>
          <w:sz w:val="24"/>
        </w:rPr>
      </w:pPr>
      <w:r>
        <w:rPr>
          <w:sz w:val="24"/>
        </w:rPr>
        <w:t>Enron acknowledges that even in the absence of hard evidence, unsubstantiated claims or even rumor can be enough to shake confidence in a market and to harm the credibility of all participants.  In that regard, and this may well be what is at work here, the Commission’s role is to restore confidence, not adopt unnecessary rules.  The Commission did just that at the public conference on March 15, when Staff indicated that audit teams routinely reviewed pipeline records for evidence of affiliate preference, in non-public audits.  More disclosure of actions of this nature might be needed to allay fears that no one is “watching the store.”  This would also serve to assure the public that the Commission has extensive reporting requirements and is routinely monitoring affiliate transactions; investigating hotline, formal and informal complaints; and reviewing compliance filings for evidence of affiliate abuse and that if such abuse is occurring, it is promptly and forcefully redressed.</w:t>
      </w:r>
    </w:p>
    <w:p>
      <w:pPr>
        <w:pStyle w:val="BodyTextIndent"/>
        <w:keepLines w:val="false"/>
        <w:spacing w:lineRule="auto" w:line="480"/>
        <w:ind w:firstLine="720" w:start="0" w:end="0"/>
        <w:jc w:val="both"/>
        <w:rPr/>
      </w:pPr>
      <w:r>
        <w:rPr/>
        <w:t xml:space="preserve">Several parties at the public conference brought up “straw men,” describing affiliate abuses with no real evidence to back them up.  The two main allegations were the “funny money” argument and the capacity hoarding complaint.  The “funny money” argument assumes marketing affiliates will bid above the going market rate for capacity because any excess, above-market payment is going to the corporate bottom line.  We explained at the conference why this hypothetical manipulation fails to make economic sense.  The reality is that, at least for the Enron companies, each business entity stands alone.  The idea of the non-regulated marketing affiliate subsidizing pipeline operations, where revenues are accounted for and used to calculate rates in the regulatory arena, flies in the face of common sense as well as basic economics.  </w:t>
      </w:r>
    </w:p>
    <w:p>
      <w:pPr>
        <w:pStyle w:val="BodyTextIndent"/>
        <w:keepLines w:val="false"/>
        <w:spacing w:lineRule="auto" w:line="480"/>
        <w:ind w:firstLine="720" w:start="0" w:end="0"/>
        <w:jc w:val="both"/>
        <w:rPr/>
      </w:pPr>
      <w:r>
        <w:rPr/>
        <w:t>The second alleged abuse, where a shipper hoards capacity to drive up prices,</w:t>
      </w:r>
      <w:r>
        <w:rPr>
          <w:rStyle w:val="FootnoteCharacters"/>
          <w:rStyle w:val="FootnoteReference"/>
        </w:rPr>
        <w:footnoteReference w:id="2"/>
      </w:r>
      <w:r>
        <w:rPr/>
        <w:t xml:space="preserve"> may be an issue, although it seems to be a rather expensive way to bring in less than certain revenues.  If it is a problem, however, it is not one that is uniquely or of necessity a marketing affiliate issue, as anyone can subscribe for capacity and hoard it, if they have a mind to do so.</w:t>
      </w:r>
    </w:p>
    <w:p>
      <w:pPr>
        <w:pStyle w:val="BodyTextIndent"/>
        <w:keepLines w:val="false"/>
        <w:spacing w:lineRule="auto" w:line="480"/>
        <w:ind w:firstLine="720" w:start="0" w:end="0"/>
        <w:jc w:val="both"/>
        <w:rPr/>
      </w:pPr>
      <w:r>
        <w:rPr/>
        <w:t>A suggestion was made that perhaps some of these problems would be solved by requiring the pipelines to offer capacity in smaller blocks so that smaller entities would be able to bid.  While the pipelines are in the best position to respond to this suggestion, it seems that it imposes both an undue burden and a risk on the pipeline that would not exist in a normal competitive situation.  It would be tantamount to instructing steel manufacturers that they must sell single beams to individual customers, rather than finding purchasers who would efficiently buy large quantities of beams in single transactions.  Such a requirement has two downsides.  First, it imposes additional transaction requirements on the pipeline, which must negotiate deals with more parties than otherwise.  Second, it leaves the pipeline at risk for unsold capacity.  If a large end-use project cannot get all the natural gas it needs because available pipeline capacity has been divvied up into small blocks, that project will go away, to be located in another area or not to be built at all.  And the pipeline may not be able to sell all that the capacity it has available, as it might have if it could have handled the needs of the largest purchaser first.  Forcing pipelines to sell capacity in smaller blocks will bring costs and inefficiencies into the market in order to address abuses that have not been substantiated and do not exist except in some fertile imaginations.</w:t>
      </w:r>
    </w:p>
    <w:p>
      <w:pPr>
        <w:pStyle w:val="BodyText"/>
        <w:keepNext w:val="true"/>
        <w:tabs>
          <w:tab w:val="clear" w:pos="720"/>
          <w:tab w:val="left" w:pos="540" w:leader="none"/>
        </w:tabs>
        <w:spacing w:lineRule="auto" w:line="480" w:before="240" w:after="0"/>
        <w:rPr>
          <w:sz w:val="24"/>
        </w:rPr>
      </w:pPr>
      <w:r>
        <w:rPr>
          <w:sz w:val="24"/>
        </w:rPr>
        <w:t>B.</w:t>
        <w:tab/>
      </w:r>
      <w:r>
        <w:rPr>
          <w:sz w:val="24"/>
          <w:u w:val="single"/>
        </w:rPr>
        <w:t>The Marketing Affiliate Rules and Technology</w:t>
      </w:r>
    </w:p>
    <w:p>
      <w:pPr>
        <w:pStyle w:val="BodyText"/>
        <w:spacing w:lineRule="auto" w:line="480"/>
        <w:ind w:firstLine="720" w:end="0"/>
        <w:rPr>
          <w:sz w:val="24"/>
        </w:rPr>
      </w:pPr>
      <w:r>
        <w:rPr>
          <w:sz w:val="24"/>
        </w:rPr>
        <w:t xml:space="preserve">A number of conference participants argued that, even under the new standards of Order No. 637, many pipelines still do not offer usable (manipulatable) data over their internet sites.  We at Enron rely on pipeline operational and capacity data as much as any other party, and we certainly want ready and timely access to all relevant, non-confidential data.  However, the problem is really one of defining what is adequate.  The Commission and the industry have spent a tremendous amount of time and resources developing proper reporting protocols through Order No. 637 and the GISB process.  Where the pipelines fully comply with the requirements of Order No. 637, and other protocols such as GISB standards as they are adopted, how much further will we demand that they go to make their information systems work for competitive suppliers?  Every additional requirement that is put on pipelines translates into higher rates for all.  If these changes are being required to benefit only a select number of competitive market participants who have not developed or purchased their own systems for utilizing data, then we begin, wrongly, to subsidize competitive activities through pipeline rates.  The solution rather is to have the pipelines provide all necessary data in usable formats.  Beyond that, it is the responsibility of each market participant to develop its own systems and methods of manipulating the data for its own business needs.  </w:t>
      </w:r>
    </w:p>
    <w:p>
      <w:pPr>
        <w:pStyle w:val="BodyTextIndent"/>
        <w:keepNext w:val="true"/>
        <w:keepLines w:val="false"/>
        <w:tabs>
          <w:tab w:val="clear" w:pos="720"/>
          <w:tab w:val="left" w:pos="540" w:leader="none"/>
        </w:tabs>
        <w:spacing w:lineRule="auto" w:line="480" w:before="240" w:after="0"/>
        <w:ind w:start="0" w:end="0"/>
        <w:jc w:val="both"/>
        <w:rPr/>
      </w:pPr>
      <w:r>
        <w:rPr/>
        <w:t>C.</w:t>
        <w:tab/>
      </w:r>
      <w:r>
        <w:rPr>
          <w:u w:val="single"/>
        </w:rPr>
        <w:t>Revisiting the Definition of Marketing Affiliate</w:t>
      </w:r>
    </w:p>
    <w:p>
      <w:pPr>
        <w:pStyle w:val="Normal"/>
        <w:spacing w:lineRule="auto" w:line="480"/>
        <w:ind w:firstLine="720" w:end="0"/>
        <w:jc w:val="both"/>
        <w:rPr/>
      </w:pPr>
      <w:r>
        <w:rPr>
          <w:sz w:val="24"/>
        </w:rPr>
        <w:tab/>
        <w:t xml:space="preserve">Some parties suggested that </w:t>
      </w:r>
      <w:r>
        <w:rPr>
          <w:color w:val="000000"/>
          <w:sz w:val="24"/>
        </w:rPr>
        <w:t xml:space="preserve">the definition of marketing affiliate in the Commission’s rules should be expanded to include generation affiliates of the pipeline that are not gas marketers or brokers.  In particular, the change is intended to expand the reach of the rule to affiliated electric generators who will consume gas transported through affiliate pipelines.  Enron does not oppose this expanded definition provided the Commission recognizes that </w:t>
      </w:r>
      <w:r>
        <w:rPr>
          <w:color w:val="000000"/>
          <w:sz w:val="24"/>
          <w:u w:val="single"/>
        </w:rPr>
        <w:t>all</w:t>
      </w:r>
      <w:r>
        <w:rPr>
          <w:color w:val="000000"/>
          <w:sz w:val="24"/>
        </w:rPr>
        <w:t xml:space="preserve"> generators – affiliated and unaffiliated – need the opportunity to discuss siting issues with the pipelines that will serve them.  Therefore, any change to the rule should not affect the exception to Standard F under which transaction-specific information, which pipelines routinely provide to all shippers, including marketing affiliates, is not required to be contemporaneously disclosed.</w:t>
      </w:r>
    </w:p>
    <w:p>
      <w:pPr>
        <w:pStyle w:val="BodyText"/>
        <w:spacing w:lineRule="auto" w:line="480" w:before="240" w:after="0"/>
        <w:ind w:firstLine="720" w:end="0"/>
        <w:rPr>
          <w:sz w:val="24"/>
        </w:rPr>
      </w:pPr>
      <w:r>
        <w:rPr>
          <w:sz w:val="24"/>
        </w:rPr>
        <w:t>WHEREFORE, Enron respectfully submits that by and large the marketing affiliate rules are an effective deterrent to abuse or preferential treatment.  To the extent the Commission entertains any changes in those rules, the proper basis for adopting such changes is a stringent one.  Such changes must be supported by factual evidence.  Review of that evidence must show that the need for such market protections outweighs the additional adverse effect of stricter rules on those affiliates, and that those protections would not be effective on a case-specific basis and therefore must be implemented on a generic basis.</w:t>
      </w:r>
    </w:p>
    <w:p>
      <w:pPr>
        <w:pStyle w:val="BodyText"/>
        <w:tabs>
          <w:tab w:val="clear" w:pos="720"/>
          <w:tab w:val="left" w:pos="4140" w:leader="none"/>
        </w:tabs>
        <w:rPr>
          <w:sz w:val="24"/>
        </w:rPr>
      </w:pPr>
      <w:r>
        <w:rPr>
          <w:sz w:val="24"/>
        </w:rPr>
        <w:tab/>
        <w:t>Respectfully submitted,</w:t>
      </w:r>
    </w:p>
    <w:p>
      <w:pPr>
        <w:pStyle w:val="BodyText"/>
        <w:tabs>
          <w:tab w:val="clear" w:pos="720"/>
          <w:tab w:val="left" w:pos="1080" w:leader="none"/>
        </w:tabs>
        <w:rPr>
          <w:sz w:val="24"/>
        </w:rPr>
      </w:pPr>
      <w:r>
        <w:rPr>
          <w:sz w:val="24"/>
        </w:rPr>
        <w:tab/>
      </w:r>
    </w:p>
    <w:p>
      <w:pPr>
        <w:pStyle w:val="BodyText"/>
        <w:tabs>
          <w:tab w:val="clear" w:pos="720"/>
          <w:tab w:val="left" w:pos="4140" w:leader="none"/>
        </w:tabs>
        <w:rPr/>
      </w:pPr>
      <w:r>
        <w:rPr>
          <w:sz w:val="24"/>
        </w:rPr>
        <w:tab/>
      </w:r>
      <w:r>
        <w:rPr>
          <w:b/>
          <w:sz w:val="24"/>
        </w:rPr>
        <w:t>ENRON NORTH AMERICA CORP.</w:t>
      </w:r>
    </w:p>
    <w:p>
      <w:pPr>
        <w:pStyle w:val="BodyText"/>
        <w:tabs>
          <w:tab w:val="clear" w:pos="720"/>
          <w:tab w:val="left" w:pos="4140" w:leader="none"/>
        </w:tabs>
        <w:rPr>
          <w:b/>
          <w:sz w:val="24"/>
        </w:rPr>
      </w:pPr>
      <w:r>
        <w:rPr>
          <w:b/>
          <w:sz w:val="24"/>
        </w:rPr>
      </w:r>
    </w:p>
    <w:p>
      <w:pPr>
        <w:pStyle w:val="BodyText"/>
        <w:tabs>
          <w:tab w:val="clear" w:pos="720"/>
          <w:tab w:val="left" w:pos="4140" w:leader="none"/>
        </w:tabs>
        <w:rPr>
          <w:sz w:val="24"/>
        </w:rPr>
      </w:pPr>
      <w:r>
        <w:rPr>
          <w:sz w:val="24"/>
        </w:rPr>
      </w:r>
    </w:p>
    <w:p>
      <w:pPr>
        <w:pStyle w:val="BodyText"/>
        <w:tabs>
          <w:tab w:val="clear" w:pos="720"/>
          <w:tab w:val="left" w:pos="4140" w:leader="none"/>
        </w:tabs>
        <w:rPr>
          <w:sz w:val="24"/>
        </w:rPr>
      </w:pPr>
      <w:r>
        <w:rPr>
          <w:sz w:val="24"/>
        </w:rPr>
      </w:r>
    </w:p>
    <w:p>
      <w:pPr>
        <w:pStyle w:val="BodyText"/>
        <w:tabs>
          <w:tab w:val="clear" w:pos="720"/>
          <w:tab w:val="left" w:pos="4140" w:leader="none"/>
        </w:tabs>
        <w:rPr>
          <w:sz w:val="24"/>
        </w:rPr>
      </w:pPr>
      <w:r>
        <w:rPr>
          <w:sz w:val="24"/>
        </w:rPr>
        <w:tab/>
        <w:t>By Leslie Lawner</w:t>
      </w:r>
    </w:p>
    <w:p>
      <w:pPr>
        <w:pStyle w:val="BodyText"/>
        <w:tabs>
          <w:tab w:val="clear" w:pos="720"/>
          <w:tab w:val="left" w:pos="4140" w:leader="none"/>
        </w:tabs>
        <w:rPr>
          <w:sz w:val="24"/>
        </w:rPr>
      </w:pPr>
      <w:r>
        <w:rPr>
          <w:sz w:val="24"/>
        </w:rPr>
        <w:tab/>
        <w:t>Director, Government Affairs – The Americas</w:t>
      </w:r>
    </w:p>
    <w:p>
      <w:pPr>
        <w:pStyle w:val="BodyText"/>
        <w:tabs>
          <w:tab w:val="clear" w:pos="720"/>
          <w:tab w:val="left" w:pos="4140" w:leader="none"/>
        </w:tabs>
        <w:rPr>
          <w:sz w:val="24"/>
        </w:rPr>
      </w:pPr>
      <w:r>
        <w:rPr>
          <w:sz w:val="24"/>
        </w:rPr>
        <w:tab/>
        <w:t>Enron Corp.</w:t>
      </w:r>
    </w:p>
    <w:p>
      <w:pPr>
        <w:pStyle w:val="BodyText"/>
        <w:tabs>
          <w:tab w:val="clear" w:pos="720"/>
          <w:tab w:val="left" w:pos="4140" w:leader="none"/>
        </w:tabs>
        <w:rPr>
          <w:sz w:val="24"/>
        </w:rPr>
      </w:pPr>
      <w:r>
        <w:rPr>
          <w:sz w:val="24"/>
        </w:rPr>
        <w:tab/>
        <w:t>712 North Lea</w:t>
      </w:r>
    </w:p>
    <w:p>
      <w:pPr>
        <w:pStyle w:val="BodyText"/>
        <w:tabs>
          <w:tab w:val="clear" w:pos="720"/>
          <w:tab w:val="left" w:pos="4140" w:leader="none"/>
        </w:tabs>
        <w:rPr>
          <w:sz w:val="24"/>
        </w:rPr>
      </w:pPr>
      <w:r>
        <w:rPr>
          <w:sz w:val="24"/>
        </w:rPr>
        <w:tab/>
        <w:t>Roswell, NM 88201</w:t>
      </w:r>
    </w:p>
    <w:p>
      <w:pPr>
        <w:pStyle w:val="BodyText"/>
        <w:tabs>
          <w:tab w:val="clear" w:pos="720"/>
          <w:tab w:val="left" w:pos="4140" w:leader="none"/>
        </w:tabs>
        <w:rPr>
          <w:sz w:val="24"/>
        </w:rPr>
      </w:pPr>
      <w:r>
        <w:rPr>
          <w:sz w:val="24"/>
        </w:rPr>
        <w:tab/>
        <w:t>(505) 623-6778</w:t>
      </w:r>
    </w:p>
    <w:p>
      <w:pPr>
        <w:pStyle w:val="BodyText"/>
        <w:tabs>
          <w:tab w:val="clear" w:pos="720"/>
          <w:tab w:val="left" w:pos="4140" w:leader="none"/>
        </w:tabs>
        <w:rPr>
          <w:sz w:val="24"/>
        </w:rPr>
      </w:pPr>
      <w:r>
        <w:rPr>
          <w:sz w:val="24"/>
        </w:rPr>
        <w:tab/>
        <w:t>Fax (505) 625-2820</w:t>
      </w:r>
    </w:p>
    <w:p>
      <w:pPr>
        <w:pStyle w:val="BodyText"/>
        <w:tabs>
          <w:tab w:val="clear" w:pos="720"/>
          <w:tab w:val="left" w:pos="4140" w:leader="none"/>
        </w:tabs>
        <w:rPr>
          <w:sz w:val="24"/>
        </w:rPr>
      </w:pPr>
      <w:r>
        <w:rPr>
          <w:sz w:val="24"/>
        </w:rPr>
        <w:tab/>
        <w:t>Email:  llawner@enron.com</w:t>
      </w:r>
    </w:p>
    <w:p>
      <w:pPr>
        <w:pStyle w:val="BodyText"/>
        <w:tabs>
          <w:tab w:val="clear" w:pos="720"/>
          <w:tab w:val="left" w:pos="3780" w:leader="none"/>
        </w:tabs>
        <w:rPr>
          <w:sz w:val="24"/>
        </w:rPr>
      </w:pPr>
      <w:r>
        <w:rPr>
          <w:sz w:val="24"/>
        </w:rPr>
      </w:r>
    </w:p>
    <w:p>
      <w:pPr>
        <w:pStyle w:val="BodyText"/>
        <w:rPr>
          <w:sz w:val="24"/>
        </w:rPr>
      </w:pPr>
      <w:r>
        <w:rPr>
          <w:sz w:val="24"/>
        </w:rPr>
      </w:r>
    </w:p>
    <w:p>
      <w:pPr>
        <w:pStyle w:val="BodyText"/>
        <w:rPr>
          <w:sz w:val="24"/>
        </w:rPr>
      </w:pPr>
      <w:r>
        <w:rPr>
          <w:sz w:val="24"/>
        </w:rPr>
        <w:t>Dated April 30, 2001</w:t>
      </w:r>
    </w:p>
    <w:p>
      <w:pPr>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620"/>
          <w:pgNumType w:fmt="decimal"/>
          <w:formProt w:val="false"/>
          <w:titlePg/>
          <w:textDirection w:val="lrTb"/>
          <w:docGrid w:type="default" w:linePitch="360" w:charSpace="0"/>
        </w:sectPr>
        <w:pStyle w:val="BodyText"/>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rPr>
      </w:pPr>
      <w:r>
        <w:rPr>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I, Leslie J. Lawner, hereby certify that I have caused a copy of the foregoing document to be served upon the Secretary of the Commission in accordance with the re</w:t>
        <w:softHyphen/>
        <w:t>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Dated this 30th day of April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BodyText"/>
        <w:jc w:val="center"/>
        <w:rPr>
          <w:sz w:val="24"/>
        </w:rPr>
      </w:pPr>
      <w:r>
        <w:rPr>
          <w:sz w:val="24"/>
        </w:rPr>
        <w:tab/>
        <w:tab/>
        <w:tab/>
        <w:tab/>
        <w:t>Leslie J. Lawner</w:t>
      </w:r>
    </w:p>
    <w:p>
      <w:pPr>
        <w:pStyle w:val="Normal"/>
        <w:spacing w:lineRule="atLeast" w:line="240"/>
        <w:rPr>
          <w:rFonts w:ascii="Arial" w:hAnsi="Arial" w:eastAsia="Arial" w:cs="Arial"/>
          <w:color w:val="0000FF"/>
        </w:rPr>
      </w:pPr>
      <w:r>
        <w:rPr>
          <w:rFonts w:eastAsia="Arial" w:cs="Arial" w:ascii="Arial" w:hAnsi="Arial"/>
          <w:color w:val="0000FF"/>
        </w:rPr>
        <w:t xml:space="preserve"> </w:t>
      </w:r>
    </w:p>
    <w:p>
      <w:pPr>
        <w:pStyle w:val="Normal"/>
        <w:rPr/>
      </w:pPr>
      <w:r>
        <w:rPr/>
      </w:r>
    </w:p>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We do not address the possibility that a pipeline itself may hoard capacity.  Generally, all available capacity is posted on the pipeline’s website and the pipeline is obligated to sell unused capacity as interruptible capacity, so pipeline hoarding does not seem possible or likely.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Docket No. PL00-1-000</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Docket No. PL00-1-000</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3241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232410" cy="2095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8.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Header"/>
      <w:rPr>
        <w:rStyle w:val="PageNumber"/>
      </w:rPr>
    </w:pPr>
    <w:r>
      <w:rPr/>
    </w:r>
  </w:p>
  <w:p>
    <w:pPr>
      <w:pStyle w:val="Header"/>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3"/>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1">
    <w:name w:val="WW8Num1z1"/>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lang w:eastAsia="en-US"/>
    </w:rPr>
  </w:style>
  <w:style w:type="paragraph" w:styleId="Footer">
    <w:name w:val="footer"/>
    <w:basedOn w:val="Normal"/>
    <w:pPr>
      <w:tabs>
        <w:tab w:val="clear" w:pos="720"/>
        <w:tab w:val="center" w:pos="4320" w:leader="none"/>
        <w:tab w:val="right" w:pos="8640" w:leader="none"/>
      </w:tabs>
    </w:pPr>
    <w:rPr>
      <w:lang w:eastAsia="en-US"/>
    </w:rPr>
  </w:style>
  <w:style w:type="paragraph" w:styleId="BodyTextIndent">
    <w:name w:val="Body Text Indent"/>
    <w:basedOn w:val="Normal"/>
    <w:pPr>
      <w:keepLines/>
      <w:spacing w:lineRule="atLeast" w:line="240"/>
      <w:ind w:hanging="0" w:start="360" w:end="0"/>
    </w:pPr>
    <w:rPr>
      <w:color w:val="000000"/>
      <w:sz w:val="24"/>
      <w:lang w:eastAsia="en-US"/>
    </w:rPr>
  </w:style>
  <w:style w:type="paragraph" w:styleId="FootnoteText">
    <w:name w:val="footnote text"/>
    <w:basedOn w:val="Normal"/>
    <w:pPr/>
    <w:rPr>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2001-04-26T19:06:00Z</dcterms:created>
  <dc:creator>llawner</dc:creator>
  <dc:description/>
  <dc:language>en-CA</dc:language>
  <cp:lastModifiedBy>bcantre</cp:lastModifiedBy>
  <cp:lastPrinted>2001-04-26T16:36:00Z</cp:lastPrinted>
  <dcterms:modified xsi:type="dcterms:W3CDTF">2001-04-26T19:59:00Z</dcterms:modified>
  <cp:revision>3</cp:revision>
  <dc:subject/>
  <dc:title>BEFORE THE UNITED STATES</dc:title>
</cp:coreProperties>
</file>