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BEFORE THE</w:t>
      </w:r>
    </w:p>
    <w:p>
      <w:pPr>
        <w:pStyle w:val="Normal"/>
        <w:jc w:val="center"/>
        <w:rPr/>
      </w:pPr>
      <w:r>
        <w:rPr/>
        <w:t>PUBLIC UTILITIES COMMISSION</w:t>
      </w:r>
    </w:p>
    <w:p>
      <w:pPr>
        <w:pStyle w:val="Normal"/>
        <w:jc w:val="center"/>
        <w:rPr/>
      </w:pPr>
      <w:r>
        <w:rPr/>
        <w:t>OF THE STATE OF CALIFORNIA</w:t>
      </w:r>
    </w:p>
    <w:p>
      <w:pPr>
        <w:pStyle w:val="Normal"/>
        <w:tabs>
          <w:tab w:val="clear" w:pos="720"/>
          <w:tab w:val="left" w:pos="4410" w:leader="none"/>
        </w:tabs>
        <w:rPr/>
      </w:pPr>
      <w:r>
        <w:rPr/>
      </w:r>
    </w:p>
    <w:p>
      <w:pPr>
        <w:pStyle w:val="Normal"/>
        <w:tabs>
          <w:tab w:val="clear" w:pos="720"/>
          <w:tab w:val="left" w:pos="4410" w:leader="none"/>
        </w:tabs>
        <w:rPr/>
      </w:pPr>
      <w:r>
        <w:rPr/>
      </w:r>
    </w:p>
    <w:tbl>
      <w:tblPr>
        <w:tblW w:w="9576" w:type="dxa"/>
        <w:jc w:val="start"/>
        <w:tblInd w:w="0" w:type="dxa"/>
        <w:tblLayout w:type="fixed"/>
        <w:tblCellMar>
          <w:top w:w="0" w:type="dxa"/>
          <w:start w:w="108" w:type="dxa"/>
          <w:bottom w:w="0" w:type="dxa"/>
          <w:end w:w="108" w:type="dxa"/>
        </w:tblCellMar>
      </w:tblPr>
      <w:tblGrid>
        <w:gridCol w:w="5778"/>
        <w:gridCol w:w="270"/>
        <w:gridCol w:w="3528"/>
      </w:tblGrid>
      <w:tr>
        <w:trPr/>
        <w:tc>
          <w:tcPr>
            <w:tcW w:w="5778" w:type="dxa"/>
            <w:tcBorders>
              <w:bottom w:val="single" w:sz="6" w:space="0" w:color="000000"/>
              <w:end w:val="single" w:sz="6" w:space="0" w:color="000000"/>
            </w:tcBorders>
          </w:tcPr>
          <w:p>
            <w:pPr>
              <w:pStyle w:val="Normal"/>
              <w:tabs>
                <w:tab w:val="clear" w:pos="720"/>
                <w:tab w:val="left" w:pos="4410" w:leader="none"/>
              </w:tabs>
              <w:spacing w:lineRule="auto" w:line="240"/>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tabs>
                <w:tab w:val="clear" w:pos="720"/>
                <w:tab w:val="left" w:pos="4410" w:leader="none"/>
              </w:tabs>
              <w:rPr/>
            </w:pPr>
            <w:r>
              <w:rPr/>
              <w:tab/>
              <w:t>U 39-G</w:t>
            </w:r>
          </w:p>
          <w:p>
            <w:pPr>
              <w:pStyle w:val="Normal"/>
              <w:tabs>
                <w:tab w:val="clear" w:pos="720"/>
                <w:tab w:val="left" w:pos="4410" w:leader="none"/>
              </w:tabs>
              <w:rPr/>
            </w:pPr>
            <w:r>
              <w:rPr/>
            </w:r>
          </w:p>
        </w:tc>
        <w:tc>
          <w:tcPr>
            <w:tcW w:w="270" w:type="dxa"/>
            <w:tcBorders/>
          </w:tcPr>
          <w:p>
            <w:pPr>
              <w:pStyle w:val="Normal"/>
              <w:tabs>
                <w:tab w:val="clear" w:pos="720"/>
                <w:tab w:val="left" w:pos="4410" w:leader="none"/>
              </w:tabs>
              <w:snapToGrid w:val="false"/>
              <w:rPr/>
            </w:pPr>
            <w:r>
              <w:rPr/>
            </w:r>
          </w:p>
        </w:tc>
        <w:tc>
          <w:tcPr>
            <w:tcW w:w="3528" w:type="dxa"/>
            <w:tcBorders/>
          </w:tcPr>
          <w:p>
            <w:pPr>
              <w:pStyle w:val="Normal"/>
              <w:tabs>
                <w:tab w:val="clear" w:pos="720"/>
                <w:tab w:val="left" w:pos="4410" w:leader="none"/>
              </w:tabs>
              <w:snapToGrid w:val="false"/>
              <w:rPr/>
            </w:pPr>
            <w:r>
              <w:rPr/>
            </w:r>
          </w:p>
          <w:p>
            <w:pPr>
              <w:pStyle w:val="Normal"/>
              <w:tabs>
                <w:tab w:val="clear" w:pos="720"/>
                <w:tab w:val="left" w:pos="4410" w:leader="none"/>
              </w:tabs>
              <w:rPr/>
            </w:pPr>
            <w:r>
              <w:rPr/>
            </w:r>
          </w:p>
          <w:p>
            <w:pPr>
              <w:pStyle w:val="Normal"/>
              <w:tabs>
                <w:tab w:val="clear" w:pos="720"/>
                <w:tab w:val="left" w:pos="4410" w:leader="none"/>
              </w:tabs>
              <w:rPr/>
            </w:pPr>
            <w:r>
              <w:rPr/>
              <w:t>I.99-07-003</w:t>
            </w:r>
          </w:p>
          <w:p>
            <w:pPr>
              <w:pStyle w:val="Normal"/>
              <w:tabs>
                <w:tab w:val="clear" w:pos="720"/>
                <w:tab w:val="left" w:pos="4410" w:leader="none"/>
              </w:tabs>
              <w:rPr/>
            </w:pPr>
            <w:r>
              <w:rPr/>
              <w:t>(Filed July 8, 1999)</w:t>
            </w:r>
          </w:p>
        </w:tc>
      </w:tr>
    </w:tbl>
    <w:p>
      <w:pPr>
        <w:pStyle w:val="Normal"/>
        <w:tabs>
          <w:tab w:val="clear" w:pos="720"/>
          <w:tab w:val="left" w:pos="4410" w:leader="none"/>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r>
    </w:p>
    <w:p>
      <w:pPr>
        <w:pStyle w:val="Normal"/>
        <w:spacing w:lineRule="auto" w:line="240"/>
        <w:jc w:val="center"/>
        <w:rPr>
          <w:b/>
          <w:bCs/>
        </w:rPr>
      </w:pPr>
      <w:r>
        <w:rPr>
          <w:b/>
          <w:bCs/>
        </w:rPr>
      </w:r>
    </w:p>
    <w:p>
      <w:pPr>
        <w:pStyle w:val="Normal"/>
        <w:spacing w:lineRule="auto" w:line="240"/>
        <w:jc w:val="center"/>
        <w:rPr>
          <w:b/>
          <w:bCs/>
        </w:rPr>
      </w:pPr>
      <w:r>
        <w:rPr>
          <w:b/>
          <w:bCs/>
        </w:rPr>
      </w:r>
    </w:p>
    <w:p>
      <w:pPr>
        <w:pStyle w:val="Normal"/>
        <w:spacing w:lineRule="auto" w:line="240"/>
        <w:jc w:val="center"/>
        <w:rPr>
          <w:b/>
          <w:bCs/>
        </w:rPr>
      </w:pPr>
      <w:r>
        <w:rPr>
          <w:b/>
          <w:bCs/>
        </w:rPr>
        <w:t>REPLY BRIEF OF</w:t>
      </w:r>
    </w:p>
    <w:p>
      <w:pPr>
        <w:pStyle w:val="Normal"/>
        <w:spacing w:lineRule="auto" w:line="240"/>
        <w:jc w:val="center"/>
        <w:rPr>
          <w:b/>
          <w:bCs/>
        </w:rPr>
      </w:pPr>
      <w:r>
        <w:rPr>
          <w:b/>
          <w:bCs/>
        </w:rPr>
        <w:t xml:space="preserve">PACIFIC GAS AND ELECTRIC COMPANY </w:t>
      </w:r>
    </w:p>
    <w:p>
      <w:pPr>
        <w:pStyle w:val="Normal"/>
        <w:rPr>
          <w:b/>
          <w:bCs/>
        </w:rPr>
      </w:pPr>
      <w:r>
        <w:rPr>
          <w:b/>
          <w:bC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lineRule="auto" w:line="240"/>
        <w:ind w:firstLine="360" w:start="3600" w:end="0"/>
        <w:rPr/>
      </w:pPr>
      <w:r>
        <w:rPr/>
      </w:r>
    </w:p>
    <w:p>
      <w:pPr>
        <w:pStyle w:val="Normal"/>
        <w:spacing w:lineRule="auto" w:line="240"/>
        <w:ind w:firstLine="360" w:start="3600" w:end="0"/>
        <w:rPr/>
      </w:pPr>
      <w:r>
        <w:rPr/>
        <w:t>Randall J. Litteneker</w:t>
      </w:r>
    </w:p>
    <w:p>
      <w:pPr>
        <w:pStyle w:val="Normal"/>
        <w:spacing w:lineRule="auto" w:line="240"/>
        <w:ind w:firstLine="360" w:start="3600" w:end="0"/>
        <w:rPr/>
      </w:pPr>
      <w:r>
        <w:rPr/>
        <w:t>Edward V. Kurz</w:t>
      </w:r>
    </w:p>
    <w:p>
      <w:pPr>
        <w:pStyle w:val="Normal"/>
        <w:spacing w:lineRule="auto" w:line="240"/>
        <w:ind w:firstLine="360" w:start="3600" w:end="0"/>
        <w:rPr/>
      </w:pPr>
      <w:r>
        <w:rPr/>
        <w:t>Law Department</w:t>
      </w:r>
    </w:p>
    <w:p>
      <w:pPr>
        <w:pStyle w:val="Normal"/>
        <w:spacing w:lineRule="auto" w:line="240"/>
        <w:ind w:firstLine="360" w:start="3600" w:end="0"/>
        <w:rPr/>
      </w:pPr>
      <w:r>
        <w:rPr/>
        <w:t>PACIFIC GAS AND ELECTRIC COMPANY</w:t>
      </w:r>
    </w:p>
    <w:p>
      <w:pPr>
        <w:pStyle w:val="Normal"/>
        <w:spacing w:lineRule="auto" w:line="240"/>
        <w:ind w:firstLine="360" w:start="3600" w:end="0"/>
        <w:rPr/>
      </w:pPr>
      <w:r>
        <w:rPr/>
        <w:t>Post Office Box 7442</w:t>
      </w:r>
    </w:p>
    <w:p>
      <w:pPr>
        <w:pStyle w:val="Normal"/>
        <w:spacing w:lineRule="auto" w:line="240"/>
        <w:ind w:firstLine="360" w:start="3600" w:end="0"/>
        <w:rPr/>
      </w:pPr>
      <w:r>
        <w:rPr/>
        <w:t>San Francisco, California 94120</w:t>
      </w:r>
    </w:p>
    <w:p>
      <w:pPr>
        <w:pStyle w:val="Normal"/>
        <w:spacing w:lineRule="auto" w:line="240"/>
        <w:ind w:firstLine="360" w:start="3600" w:end="0"/>
        <w:rPr/>
      </w:pPr>
      <w:r>
        <w:rPr/>
        <w:t>Telephone:  (415) 973-6669</w:t>
      </w:r>
    </w:p>
    <w:p>
      <w:pPr>
        <w:pStyle w:val="Normal"/>
        <w:spacing w:lineRule="auto" w:line="240"/>
        <w:ind w:firstLine="360" w:start="3600" w:end="0"/>
        <w:rPr/>
      </w:pPr>
      <w:r>
        <w:rPr/>
        <w:t>Fax:  (415) 973-5520</w:t>
      </w:r>
    </w:p>
    <w:p>
      <w:pPr>
        <w:pStyle w:val="Normal"/>
        <w:spacing w:lineRule="auto" w:line="240"/>
        <w:ind w:firstLine="360" w:start="3600" w:end="0"/>
        <w:rPr/>
      </w:pPr>
      <w:r>
        <w:rPr/>
      </w:r>
    </w:p>
    <w:p>
      <w:pPr>
        <w:pStyle w:val="Normal"/>
        <w:spacing w:lineRule="auto" w:line="240"/>
        <w:ind w:firstLine="360" w:start="3600" w:end="0"/>
        <w:rPr/>
      </w:pPr>
      <w:r>
        <w:rPr/>
        <w:t>Attorneys for</w:t>
      </w:r>
    </w:p>
    <w:p>
      <w:pPr>
        <w:pStyle w:val="Normal"/>
        <w:spacing w:lineRule="auto" w:line="240"/>
        <w:ind w:firstLine="360" w:start="3600" w:end="0"/>
        <w:rPr/>
      </w:pPr>
      <w:r>
        <w:rPr/>
        <w:t>PACIFIC GAS AND ELECTRIC COMPANY</w:t>
      </w:r>
    </w:p>
    <w:p>
      <w:pPr>
        <w:pStyle w:val="Norma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576" w:bottom="1008"/>
          <w:pgNumType w:start="1" w:fmt="decimal"/>
          <w:formProt w:val="false"/>
          <w:titlePg/>
          <w:textDirection w:val="lrTb"/>
        </w:sectPr>
        <w:pStyle w:val="Normal"/>
        <w:spacing w:lineRule="exact" w:line="249"/>
        <w:rPr/>
      </w:pPr>
      <w:r>
        <w:rPr/>
        <w:t>July 31, 2000</w:t>
      </w:r>
    </w:p>
    <w:p>
      <w:pPr>
        <w:pStyle w:val="Normal"/>
        <w:jc w:val="center"/>
        <w:rPr/>
      </w:pPr>
      <w:r>
        <w:rPr/>
        <w:t>BEFORE THE PUBLIC UTILITIES COMMISSION</w:t>
      </w:r>
    </w:p>
    <w:p>
      <w:pPr>
        <w:pStyle w:val="Normal"/>
        <w:spacing w:before="0" w:after="360"/>
        <w:jc w:val="center"/>
        <w:rPr/>
      </w:pPr>
      <w:r>
        <w:rPr/>
        <w:t>OF THE STATE OF CALIFORNIA</w:t>
      </w:r>
    </w:p>
    <w:tbl>
      <w:tblPr>
        <w:tblW w:w="9576" w:type="dxa"/>
        <w:jc w:val="start"/>
        <w:tblInd w:w="0" w:type="dxa"/>
        <w:tblLayout w:type="fixed"/>
        <w:tblCellMar>
          <w:top w:w="0" w:type="dxa"/>
          <w:start w:w="108" w:type="dxa"/>
          <w:bottom w:w="0" w:type="dxa"/>
          <w:end w:w="108" w:type="dxa"/>
        </w:tblCellMar>
      </w:tblPr>
      <w:tblGrid>
        <w:gridCol w:w="5778"/>
        <w:gridCol w:w="270"/>
        <w:gridCol w:w="3528"/>
      </w:tblGrid>
      <w:tr>
        <w:trPr/>
        <w:tc>
          <w:tcPr>
            <w:tcW w:w="5778" w:type="dxa"/>
            <w:tcBorders>
              <w:bottom w:val="single" w:sz="6" w:space="0" w:color="000000"/>
              <w:end w:val="single" w:sz="6" w:space="0" w:color="000000"/>
            </w:tcBorders>
          </w:tcPr>
          <w:p>
            <w:pPr>
              <w:pStyle w:val="Normal"/>
              <w:tabs>
                <w:tab w:val="clear" w:pos="720"/>
                <w:tab w:val="left" w:pos="4410" w:leader="none"/>
              </w:tabs>
              <w:spacing w:lineRule="auto" w:line="240"/>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tabs>
                <w:tab w:val="clear" w:pos="720"/>
                <w:tab w:val="left" w:pos="4410" w:leader="none"/>
              </w:tabs>
              <w:rPr/>
            </w:pPr>
            <w:r>
              <w:rPr/>
              <w:tab/>
              <w:t>U 39-G</w:t>
            </w:r>
          </w:p>
          <w:p>
            <w:pPr>
              <w:pStyle w:val="Normal"/>
              <w:tabs>
                <w:tab w:val="clear" w:pos="720"/>
                <w:tab w:val="left" w:pos="4410" w:leader="none"/>
              </w:tabs>
              <w:rPr/>
            </w:pPr>
            <w:r>
              <w:rPr/>
            </w:r>
          </w:p>
        </w:tc>
        <w:tc>
          <w:tcPr>
            <w:tcW w:w="270" w:type="dxa"/>
            <w:tcBorders/>
          </w:tcPr>
          <w:p>
            <w:pPr>
              <w:pStyle w:val="Normal"/>
              <w:tabs>
                <w:tab w:val="clear" w:pos="720"/>
                <w:tab w:val="left" w:pos="4410" w:leader="none"/>
              </w:tabs>
              <w:snapToGrid w:val="false"/>
              <w:rPr/>
            </w:pPr>
            <w:r>
              <w:rPr/>
            </w:r>
          </w:p>
        </w:tc>
        <w:tc>
          <w:tcPr>
            <w:tcW w:w="3528" w:type="dxa"/>
            <w:tcBorders/>
          </w:tcPr>
          <w:p>
            <w:pPr>
              <w:pStyle w:val="Normal"/>
              <w:tabs>
                <w:tab w:val="clear" w:pos="720"/>
                <w:tab w:val="left" w:pos="4410" w:leader="none"/>
              </w:tabs>
              <w:snapToGrid w:val="false"/>
              <w:rPr/>
            </w:pPr>
            <w:r>
              <w:rPr/>
            </w:r>
          </w:p>
          <w:p>
            <w:pPr>
              <w:pStyle w:val="Normal"/>
              <w:tabs>
                <w:tab w:val="clear" w:pos="720"/>
                <w:tab w:val="left" w:pos="4410" w:leader="none"/>
              </w:tabs>
              <w:rPr/>
            </w:pPr>
            <w:r>
              <w:rPr/>
            </w:r>
          </w:p>
          <w:p>
            <w:pPr>
              <w:pStyle w:val="Normal"/>
              <w:tabs>
                <w:tab w:val="clear" w:pos="720"/>
                <w:tab w:val="left" w:pos="4410" w:leader="none"/>
              </w:tabs>
              <w:rPr/>
            </w:pPr>
            <w:r>
              <w:rPr/>
              <w:t>I.99-07-003</w:t>
            </w:r>
          </w:p>
          <w:p>
            <w:pPr>
              <w:pStyle w:val="Normal"/>
              <w:tabs>
                <w:tab w:val="clear" w:pos="720"/>
                <w:tab w:val="left" w:pos="4410" w:leader="none"/>
              </w:tabs>
              <w:rPr/>
            </w:pPr>
            <w:r>
              <w:rPr/>
              <w:t>(Filed July 8, 1999)</w:t>
            </w:r>
          </w:p>
        </w:tc>
      </w:tr>
    </w:tbl>
    <w:p>
      <w:pPr>
        <w:pStyle w:val="Normal"/>
        <w:spacing w:lineRule="auto" w:line="240" w:before="360" w:after="0"/>
        <w:jc w:val="center"/>
        <w:rPr>
          <w:b/>
          <w:bCs/>
        </w:rPr>
      </w:pPr>
      <w:r>
        <w:rPr>
          <w:b/>
          <w:bCs/>
        </w:rPr>
        <w:t>REPLY BRIEF OF</w:t>
      </w:r>
    </w:p>
    <w:p>
      <w:pPr>
        <w:pStyle w:val="Normal"/>
        <w:spacing w:lineRule="auto" w:line="240"/>
        <w:jc w:val="center"/>
        <w:rPr>
          <w:b/>
          <w:bCs/>
        </w:rPr>
      </w:pPr>
      <w:r>
        <w:rPr>
          <w:b/>
          <w:bCs/>
        </w:rPr>
        <w:t xml:space="preserve">PACIFIC GAS AND ELECTRIC COMPANY </w:t>
      </w:r>
      <w:r>
        <w:rPr>
          <w:rStyle w:val="FootnoteCharacters"/>
          <w:rStyle w:val="FootnoteReference"/>
          <w:b/>
          <w:bCs/>
          <w:u w:val="single"/>
        </w:rPr>
        <w:footnoteReference w:id="2"/>
      </w:r>
      <w:r>
        <w:rPr>
          <w:vertAlign w:val="superscript"/>
        </w:rPr>
        <w:t>/</w:t>
      </w:r>
      <w:r>
        <w:rPr/>
        <w:t xml:space="preserve"> </w:t>
      </w:r>
    </w:p>
    <w:p>
      <w:pPr>
        <w:pStyle w:val="BodyText"/>
        <w:spacing w:before="120" w:after="0"/>
        <w:rPr/>
      </w:pPr>
      <w:r>
        <w:rPr/>
        <w:t>Only two parties have criticized Pacific Gas and Electric Company’s (PG&amp;E) proposed improvement to the Comprehensive Settlement’s treatment of receipt point capacity of Wheeler Ridge:  Kern River Gas Transmission Company (Kern River) and El Paso Natural Gas Company (El Paso).  In its Opening Brief, PG&amp;E has already debunked the flawed criticisms these parties have made; PG&amp;E therefore invites the ALJ to view PG&amp;E’s Opening Brief as a reply to these parties.  PG&amp;E makes the following points by way of emphasis.</w:t>
      </w:r>
    </w:p>
    <w:p>
      <w:pPr>
        <w:pStyle w:val="BodyText"/>
        <w:rPr/>
      </w:pPr>
      <w:r>
        <w:rPr/>
        <w:t xml:space="preserve">At the outset, PG&amp;E wishes to emphasize that it does not seek to undermine the Comprehensive Settlement.  PG&amp;E merely proposes an improvement to that settlement which would reconcile the treatment of Wheeler Ridge capacity rights with the physical realities of the Wheeler Ridge receipt point and which would allow the market alone to determine the appropriate allocation of receipt point rights among the upstream interconnecting pipelines at Wheeler Ridge.  </w:t>
      </w:r>
    </w:p>
    <w:p>
      <w:pPr>
        <w:pStyle w:val="BodyText"/>
        <w:rPr/>
      </w:pPr>
      <w:r>
        <w:rPr/>
        <w:t>Kern River claims PG&amp;E’s proposal is based “on a patently erroneous assumption that the delivery capability of the Kern/Mojave facilities at Wheeler Ridge is limited to 500 MMcf/d.”</w:t>
      </w:r>
      <w:r>
        <w:rPr>
          <w:rStyle w:val="FootnoteCharacters"/>
          <w:rStyle w:val="FootnoteReference"/>
          <w:u w:val="single"/>
        </w:rPr>
        <w:footnoteReference w:id="3"/>
      </w:r>
      <w:r>
        <w:rPr>
          <w:vertAlign w:val="superscript"/>
        </w:rPr>
        <w:t>/</w:t>
      </w:r>
      <w:r>
        <w:rPr/>
        <w:t xml:space="preserve">  Kern River continues to repeat this canard even now after hearing PG&amp;E’s witness explain on the witness stand that the capacity of the Kern/Mojave interconnection is irrelevant to PG&amp;E’s basic proposal.</w:t>
      </w:r>
      <w:r>
        <w:rPr>
          <w:rStyle w:val="FootnoteCharacters"/>
          <w:rStyle w:val="FootnoteReference"/>
          <w:u w:val="single"/>
        </w:rPr>
        <w:footnoteReference w:id="4"/>
      </w:r>
      <w:r>
        <w:rPr>
          <w:vertAlign w:val="superscript"/>
        </w:rPr>
        <w:t>/</w:t>
      </w:r>
      <w:r>
        <w:rPr/>
        <w:t xml:space="preserve"> </w:t>
      </w:r>
    </w:p>
    <w:p>
      <w:pPr>
        <w:pStyle w:val="BodyText"/>
        <w:rPr/>
      </w:pPr>
      <w:r>
        <w:rPr/>
        <w:t>El Paso also argues that, “based on this assumption” (concerning the Kern/Mojave interconnection capacity), PG&amp;E initially stated that “nominations would have to be curtailed down to 500 MMcf/d.”</w:t>
      </w:r>
      <w:r>
        <w:rPr>
          <w:rStyle w:val="FootnoteCharacters"/>
          <w:rStyle w:val="FootnoteReference"/>
          <w:u w:val="single"/>
        </w:rPr>
        <w:footnoteReference w:id="5"/>
      </w:r>
      <w:r>
        <w:rPr>
          <w:vertAlign w:val="superscript"/>
        </w:rPr>
        <w:t>/</w:t>
      </w:r>
      <w:r>
        <w:rPr/>
        <w:t xml:space="preserve">  El Paso goes on to claim that “</w:t>
      </w:r>
      <w:r>
        <w:rPr>
          <w:u w:val="single"/>
        </w:rPr>
        <w:t>[b]ased primarily upon this objection</w:t>
      </w:r>
      <w:r>
        <w:rPr/>
        <w:t>, PG&amp;E has proposed an alternative allocation of capacity rights at Wheeler Ridge.”</w:t>
      </w:r>
      <w:r>
        <w:rPr>
          <w:rStyle w:val="FootnoteCharacters"/>
          <w:rStyle w:val="FootnoteReference"/>
          <w:u w:val="single"/>
        </w:rPr>
        <w:footnoteReference w:id="6"/>
      </w:r>
      <w:r>
        <w:rPr>
          <w:vertAlign w:val="superscript"/>
        </w:rPr>
        <w:t>/</w:t>
      </w:r>
      <w:r>
        <w:rPr/>
        <w:t xml:space="preserve"> </w:t>
      </w:r>
    </w:p>
    <w:p>
      <w:pPr>
        <w:pStyle w:val="BodyText"/>
        <w:rPr/>
      </w:pPr>
      <w:r>
        <w:rPr/>
        <w:t xml:space="preserve">If the Kern/Mojave interconnection capacity at Wheeler Ridge is 680 MMcf/d, then El Paso is correct:  there would be no need to “curtail down to 500 MMcf/d.”  And it is true that this circumstance was </w:t>
      </w:r>
      <w:r>
        <w:rPr>
          <w:u w:val="single"/>
        </w:rPr>
        <w:t>one</w:t>
      </w:r>
      <w:r>
        <w:rPr/>
        <w:t xml:space="preserve"> of the concerns that induced PG&amp;E to make its proposal.  It was not, however, PG&amp;E’s “primary” motivation.</w:t>
      </w:r>
    </w:p>
    <w:p>
      <w:pPr>
        <w:pStyle w:val="BodyText"/>
        <w:rPr/>
      </w:pPr>
      <w:r>
        <w:rPr/>
        <w:t xml:space="preserve">PG&amp;E’s primary motivation in this case is to maximize the choices available to shippers who wish to move gas through the Wheeler Ridge receipt point.  That is why the interconnection capacity of the Kern/Mojave pipeline, </w:t>
      </w:r>
      <w:r>
        <w:rPr>
          <w:u w:val="single"/>
        </w:rPr>
        <w:t>whether it is 500 MMcf/d or 680 MMcf/d makes no difference to PG&amp;E’s basic proposal</w:t>
      </w:r>
      <w:r>
        <w:rPr/>
        <w:t>.</w:t>
      </w:r>
      <w:r>
        <w:rPr>
          <w:rStyle w:val="FootnoteCharacters"/>
          <w:rStyle w:val="FootnoteReference"/>
          <w:u w:val="single"/>
        </w:rPr>
        <w:footnoteReference w:id="7"/>
      </w:r>
      <w:r>
        <w:rPr>
          <w:vertAlign w:val="superscript"/>
        </w:rPr>
        <w:t>/</w:t>
      </w:r>
      <w:r>
        <w:rPr/>
        <w:t xml:space="preserve">  </w:t>
      </w:r>
    </w:p>
    <w:p>
      <w:pPr>
        <w:pStyle w:val="BodyText"/>
        <w:rPr/>
      </w:pPr>
      <w:r>
        <w:rPr/>
        <w:t>In its Opening Brief, El Paso also states, “Under the Comprehensive Settlement, the Kern Mojave interconnect is referred to as ‘Wheeler Ridge (south)’ and the interconnects with PG&amp;E and Oxy as ‘Wheeler Ridge (north).’”</w:t>
      </w:r>
      <w:r>
        <w:rPr>
          <w:rStyle w:val="FootnoteCharacters"/>
          <w:rStyle w:val="FootnoteReference"/>
          <w:u w:val="single"/>
        </w:rPr>
        <w:footnoteReference w:id="8"/>
      </w:r>
      <w:r>
        <w:rPr>
          <w:vertAlign w:val="superscript"/>
        </w:rPr>
        <w:t>/</w:t>
      </w:r>
      <w:r>
        <w:rPr/>
        <w:t xml:space="preserve">  This is plainly wrong.  The Comprehensive Settlement describes Wheeler Ridge (north) as a “package” of “primary rights from any combination of [Kern/Mojave], PG&amp;E or Oxy.”</w:t>
      </w:r>
      <w:r>
        <w:rPr>
          <w:rStyle w:val="FootnoteCharacters"/>
          <w:rStyle w:val="FootnoteReference"/>
          <w:u w:val="single"/>
        </w:rPr>
        <w:footnoteReference w:id="9"/>
      </w:r>
      <w:r>
        <w:rPr>
          <w:vertAlign w:val="superscript"/>
        </w:rPr>
        <w:t>/</w:t>
      </w:r>
      <w:r>
        <w:rPr/>
        <w:t xml:space="preserve">  Similarly, the Comprehensive Settlement describes Wheeler Ridge (south) as a package of rights; it does not describe a physical interconnection point.</w:t>
      </w:r>
      <w:r>
        <w:rPr>
          <w:rStyle w:val="FootnoteCharacters"/>
          <w:rStyle w:val="FootnoteReference"/>
          <w:u w:val="single"/>
        </w:rPr>
        <w:footnoteReference w:id="10"/>
      </w:r>
      <w:r>
        <w:rPr>
          <w:vertAlign w:val="superscript"/>
        </w:rPr>
        <w:t>/</w:t>
      </w:r>
      <w:r>
        <w:rPr/>
        <w:t xml:space="preserve">  As counsel for SoCalGas explained:</w:t>
      </w:r>
    </w:p>
    <w:p>
      <w:pPr>
        <w:pStyle w:val="BodyText"/>
        <w:spacing w:lineRule="exact" w:line="240"/>
        <w:ind w:hanging="0" w:end="0"/>
        <w:rPr/>
      </w:pPr>
      <w:r>
        <w:rPr/>
      </w:r>
    </w:p>
    <w:p>
      <w:pPr>
        <w:pStyle w:val="indentquote"/>
        <w:rPr/>
      </w:pPr>
      <w:r>
        <w:rPr/>
        <w:t xml:space="preserve">I am concerned </w:t>
      </w:r>
      <w:r>
        <w:rPr>
          <w:u w:val="single"/>
        </w:rPr>
        <w:t>we are getting confused here</w:t>
      </w:r>
      <w:r>
        <w:rPr/>
        <w:t xml:space="preserve"> between the interconnection with Kern</w:t>
        <w:noBreakHyphen/>
        <w:t xml:space="preserve">Mojave at Wheeler and what is defined under the Comprehensive Settlement as Wheeler Ridge South capacity rights.  </w:t>
      </w:r>
      <w:r>
        <w:rPr>
          <w:u w:val="single"/>
        </w:rPr>
        <w:t>They are not the same</w:t>
      </w:r>
      <w:r>
        <w:rPr/>
        <w:t>.</w:t>
      </w:r>
      <w:r>
        <w:rPr>
          <w:rStyle w:val="FootnoteCharacters"/>
          <w:rStyle w:val="FootnoteReference"/>
        </w:rPr>
        <w:footnoteReference w:id="11"/>
      </w:r>
      <w:r>
        <w:rPr>
          <w:vertAlign w:val="superscript"/>
        </w:rPr>
        <w:t>/</w:t>
      </w:r>
      <w:r>
        <w:rPr/>
        <w:t xml:space="preserve"> </w:t>
      </w:r>
    </w:p>
    <w:p>
      <w:pPr>
        <w:pStyle w:val="indentquote"/>
        <w:rPr/>
      </w:pPr>
      <w:r>
        <w:rPr/>
      </w:r>
    </w:p>
    <w:p>
      <w:pPr>
        <w:pStyle w:val="BodyText"/>
        <w:ind w:hanging="0" w:end="0"/>
        <w:rPr/>
      </w:pPr>
      <w:r>
        <w:rPr/>
        <w:t>El Paso is apparently still confused by this issue.</w:t>
      </w:r>
    </w:p>
    <w:p>
      <w:pPr>
        <w:pStyle w:val="BodyText"/>
        <w:rPr/>
      </w:pPr>
      <w:r>
        <w:rPr/>
        <w:t>Only PG&amp;E’s proposal directly links the capacity rights at what it has called Wheeler Ridge North and Wheeler Ridge South to the physical interconnection locations and capacities.  In so doing, PG&amp;E’s proposal ensures that customers have access to the total physical capacity at each interconnection on a primary firm basis.</w:t>
      </w:r>
    </w:p>
    <w:p>
      <w:pPr>
        <w:pStyle w:val="BodyText"/>
        <w:rPr/>
      </w:pPr>
      <w:r>
        <w:rPr/>
        <w:t>The essence of PG&amp;E’s proposal is quite simple:</w:t>
      </w:r>
    </w:p>
    <w:p>
      <w:pPr>
        <w:pStyle w:val="BodyText"/>
        <w:numPr>
          <w:ilvl w:val="0"/>
          <w:numId w:val="2"/>
        </w:numPr>
        <w:tabs>
          <w:tab w:val="left" w:pos="0" w:leader="none"/>
          <w:tab w:val="left" w:pos="720" w:leader="none"/>
        </w:tabs>
        <w:ind w:hanging="720" w:start="1440" w:end="0"/>
        <w:rPr/>
      </w:pPr>
      <w:r>
        <w:rPr/>
        <w:t>SoCalGas’ firm contracts at the Wheeler Ridge receipt point should specify either PG&amp;E/Oxy or Kern/Mojave as the primary upstream interconnect.  Firm contract holders could access the other interconnect on a secondary firm basis.</w:t>
      </w:r>
    </w:p>
    <w:p>
      <w:pPr>
        <w:pStyle w:val="BodyText"/>
        <w:numPr>
          <w:ilvl w:val="0"/>
          <w:numId w:val="2"/>
        </w:numPr>
        <w:tabs>
          <w:tab w:val="left" w:pos="0" w:leader="none"/>
          <w:tab w:val="left" w:pos="720" w:leader="none"/>
        </w:tabs>
        <w:ind w:hanging="720" w:start="1440" w:end="0"/>
        <w:rPr/>
      </w:pPr>
      <w:r>
        <w:rPr/>
        <w:t>The Wheeler Ridge firm contracts that specify PG&amp;E/Oxy as the primary upstream interconnect cannot, in total, exceed the capacity of the PG&amp;E interconnect (520 MMcf/d).</w:t>
      </w:r>
    </w:p>
    <w:p>
      <w:pPr>
        <w:pStyle w:val="BodyText"/>
        <w:numPr>
          <w:ilvl w:val="0"/>
          <w:numId w:val="2"/>
        </w:numPr>
        <w:tabs>
          <w:tab w:val="left" w:pos="0" w:leader="none"/>
          <w:tab w:val="left" w:pos="720" w:leader="none"/>
        </w:tabs>
        <w:ind w:hanging="720" w:start="1440" w:end="0"/>
        <w:rPr/>
      </w:pPr>
      <w:r>
        <w:rPr/>
        <w:t>The Wheeler Ridge firm contracts that specify Kern/Mojave as the primary upstream interconnect cannot, in total, exceed the capacity of the Kern/Mojave interconnect (whatever that capacity is).</w:t>
      </w:r>
    </w:p>
    <w:p>
      <w:pPr>
        <w:pStyle w:val="BodyText"/>
        <w:numPr>
          <w:ilvl w:val="0"/>
          <w:numId w:val="2"/>
        </w:numPr>
        <w:tabs>
          <w:tab w:val="left" w:pos="0" w:leader="none"/>
          <w:tab w:val="left" w:pos="720" w:leader="none"/>
        </w:tabs>
        <w:ind w:hanging="720" w:start="1440" w:end="0"/>
        <w:rPr/>
      </w:pPr>
      <w:r>
        <w:rPr/>
        <w:t>All Wheeler Ridge firm contracts cannot, in total, exceed SoCalGas’s Wheeler Ridge take-away capacity (680 MMcf/d, according to the Comprehensive Settlement).</w:t>
      </w:r>
    </w:p>
    <w:p>
      <w:pPr>
        <w:pStyle w:val="BodyText"/>
        <w:numPr>
          <w:ilvl w:val="0"/>
          <w:numId w:val="2"/>
        </w:numPr>
        <w:tabs>
          <w:tab w:val="left" w:pos="0" w:leader="none"/>
          <w:tab w:val="left" w:pos="720" w:leader="none"/>
        </w:tabs>
        <w:ind w:hanging="360" w:start="1440" w:end="0"/>
        <w:rPr/>
      </w:pPr>
      <w:r>
        <w:rPr/>
        <w:t xml:space="preserve">The market alone should determine the allocation of Wheeler Ridge primary receipt point rights between the PG&amp;E/Oxy interconnect and the Kern/Mojave interconnect. </w:t>
      </w:r>
    </w:p>
    <w:p>
      <w:pPr>
        <w:pStyle w:val="BodyText"/>
        <w:rPr/>
      </w:pPr>
      <w:r>
        <w:rPr/>
        <w:t>Finally, El Paso argues that the Comprehensive Settlement’s receipt point allocation scheme at Wheeler Ridge is more “flexible” than PG&amp;E’s proposal because “520 MMcf/d of the 680 MMcf/d of firm capacity at Wheeler Ridge would be available to shippers . . . to use these rights on a primary basis to transport gas from any combination of pipelines interconnecting with SoCalGas within the Wheeler Ridge complex:  Kern/Mojave, PG&amp;E or Oxy.”</w:t>
      </w:r>
      <w:r>
        <w:rPr>
          <w:rStyle w:val="FootnoteCharacters"/>
          <w:rStyle w:val="FootnoteReference"/>
          <w:u w:val="single"/>
        </w:rPr>
        <w:footnoteReference w:id="12"/>
      </w:r>
      <w:r>
        <w:rPr>
          <w:vertAlign w:val="superscript"/>
        </w:rPr>
        <w:t>/</w:t>
      </w:r>
      <w:r>
        <w:rPr/>
        <w:t xml:space="preserve">  These rights to the 520 MMcf/d of capacity are, of course, the rights available in what the Comprehensive Settlement calls the Wheeler Ridge (north) package.  This “flexibility,” which inheres only in the Wheeler Ridge (north) package, is in fact one of the problems with the Comprehensive Settlement’s treatment of this issue.  As PG&amp;E witness Hall explained:</w:t>
      </w:r>
    </w:p>
    <w:p>
      <w:pPr>
        <w:pStyle w:val="indentquote"/>
        <w:rPr/>
      </w:pPr>
      <w:r>
        <w:rPr/>
      </w:r>
    </w:p>
    <w:p>
      <w:pPr>
        <w:pStyle w:val="indentquote"/>
        <w:rPr/>
      </w:pPr>
      <w:r>
        <w:rPr/>
        <w:t>The WR</w:t>
        <w:noBreakHyphen/>
        <w:t>North package would have greater flexibility than the WR</w:t>
        <w:noBreakHyphen/>
        <w:t>South package because the former would offer the primary rights at both the PG&amp;E/Occidental and Kern/Mojave interconnection receipt points whereas the latter would offer primary rights only at the Kern</w:t>
        <w:noBreakHyphen/>
        <w:t>Mojave interconnection.  This would provide WR</w:t>
        <w:noBreakHyphen/>
        <w:t>North contracts with greater value in the secondary market (and therefore greater value overall.)</w:t>
      </w:r>
    </w:p>
    <w:p>
      <w:pPr>
        <w:pStyle w:val="indentquote"/>
        <w:rPr/>
      </w:pPr>
      <w:r>
        <w:rPr/>
      </w:r>
    </w:p>
    <w:p>
      <w:pPr>
        <w:pStyle w:val="indentquote"/>
        <w:rPr/>
      </w:pPr>
      <w:r>
        <w:rPr/>
        <w:t>This would result in a market distortion that would effectively limit the primary firm receipt point rights at the PG&amp;E/Occidental interconnection to an amount less than the physically available 520 MMcf/d capacity.  This would unnecessarily reduce the ability of southern California gas customers to access Canadian gas supplies when this gas is competitively priced.</w:t>
      </w:r>
      <w:r>
        <w:rPr>
          <w:rStyle w:val="FootnoteCharacters"/>
          <w:rStyle w:val="FootnoteReference"/>
          <w:u w:val="single"/>
        </w:rPr>
        <w:footnoteReference w:id="13"/>
      </w:r>
      <w:r>
        <w:rPr>
          <w:vertAlign w:val="superscript"/>
        </w:rPr>
        <w:t>/</w:t>
      </w:r>
      <w:r>
        <w:rPr/>
        <w:t xml:space="preserve"> </w:t>
      </w:r>
    </w:p>
    <w:p>
      <w:pPr>
        <w:pStyle w:val="BodyText"/>
        <w:spacing w:before="360" w:after="0"/>
        <w:ind w:hanging="0" w:end="0"/>
        <w:rPr/>
      </w:pPr>
      <w:r>
        <w:rPr/>
        <w:t>Adoption of PG&amp;E’s proposed modification would eliminate the potential for such market distortions and reduced customer choice.</w:t>
      </w:r>
    </w:p>
    <w:p>
      <w:pPr>
        <w:pStyle w:val="BodyText"/>
        <w:rPr/>
      </w:pPr>
      <w:r>
        <w:rPr/>
        <w:t>For all the reasons discussed in its briefs and testimony, PG&amp;E urges the Commission to include PG&amp;E’s modification to the Comprehensive Settlement’s allocation of receipt point capacity at Wheeler Ridge if the Commission adopts that settlement.</w:t>
      </w:r>
    </w:p>
    <w:p>
      <w:pPr>
        <w:pStyle w:val="SingleSpacing"/>
        <w:tabs>
          <w:tab w:val="clear" w:pos="720"/>
          <w:tab w:val="right" w:pos="3600" w:leader="none"/>
        </w:tabs>
        <w:rPr/>
      </w:pPr>
      <w:r>
        <w:rPr/>
      </w:r>
    </w:p>
    <w:p>
      <w:pPr>
        <w:pStyle w:val="SingleSpacing"/>
        <w:tabs>
          <w:tab w:val="clear" w:pos="720"/>
          <w:tab w:val="right" w:pos="3600" w:leader="none"/>
        </w:tabs>
        <w:spacing w:lineRule="auto" w:line="240"/>
        <w:rPr/>
      </w:pPr>
      <w:r>
        <w:rPr/>
        <w:tab/>
        <w:tab/>
        <w:t>Respectfully submitted,</w:t>
      </w:r>
    </w:p>
    <w:p>
      <w:pPr>
        <w:pStyle w:val="SingleSpacing"/>
        <w:tabs>
          <w:tab w:val="clear" w:pos="720"/>
          <w:tab w:val="right" w:pos="3600" w:leader="none"/>
        </w:tabs>
        <w:spacing w:lineRule="auto" w:line="240" w:before="240" w:after="0"/>
        <w:rPr/>
      </w:pPr>
      <w:r>
        <w:rPr/>
        <w:tab/>
        <w:tab/>
        <w:t>RANDALL J. LITTENEKER</w:t>
      </w:r>
    </w:p>
    <w:p>
      <w:pPr>
        <w:pStyle w:val="SingleSpacing"/>
        <w:tabs>
          <w:tab w:val="clear" w:pos="720"/>
          <w:tab w:val="right" w:pos="3600" w:leader="none"/>
        </w:tabs>
        <w:spacing w:lineRule="auto" w:line="240"/>
        <w:rPr/>
      </w:pPr>
      <w:r>
        <w:rPr/>
        <w:tab/>
        <w:tab/>
        <w:t>EDWARD V. KURZ</w:t>
      </w:r>
    </w:p>
    <w:p>
      <w:pPr>
        <w:pStyle w:val="SingleSpacing"/>
        <w:tabs>
          <w:tab w:val="clear" w:pos="720"/>
          <w:tab w:val="right" w:pos="3600" w:leader="none"/>
        </w:tabs>
        <w:spacing w:lineRule="auto" w:line="240"/>
        <w:rPr/>
      </w:pPr>
      <w:r>
        <w:rPr/>
      </w:r>
    </w:p>
    <w:p>
      <w:pPr>
        <w:pStyle w:val="SingleSpacing"/>
        <w:tabs>
          <w:tab w:val="clear" w:pos="720"/>
          <w:tab w:val="right" w:pos="3600" w:leader="none"/>
        </w:tabs>
        <w:spacing w:lineRule="auto" w:line="240"/>
        <w:rPr/>
      </w:pPr>
      <w:r>
        <w:rPr/>
      </w:r>
    </w:p>
    <w:p>
      <w:pPr>
        <w:pStyle w:val="SingleSpacing"/>
        <w:tabs>
          <w:tab w:val="clear" w:pos="720"/>
          <w:tab w:val="right" w:pos="3600" w:leader="none"/>
        </w:tabs>
        <w:spacing w:lineRule="auto" w:line="240"/>
        <w:rPr/>
      </w:pPr>
      <w:r>
        <w:rPr/>
        <w:tab/>
        <w:tab/>
        <w:t xml:space="preserve">By:  </w:t>
      </w:r>
      <w:r>
        <w:rPr>
          <w:u w:val="single"/>
        </w:rPr>
        <w:tab/>
        <w:tab/>
        <w:tab/>
        <w:tab/>
        <w:tab/>
        <w:tab/>
      </w:r>
    </w:p>
    <w:p>
      <w:pPr>
        <w:pStyle w:val="SingleSpacing"/>
        <w:tabs>
          <w:tab w:val="clear" w:pos="720"/>
          <w:tab w:val="right" w:pos="3600" w:leader="none"/>
          <w:tab w:val="left" w:pos="4770" w:leader="none"/>
        </w:tabs>
        <w:spacing w:lineRule="auto" w:line="240"/>
        <w:rPr/>
      </w:pPr>
      <w:r>
        <w:rPr/>
        <w:tab/>
        <w:tab/>
        <w:t>EDWARD V. KURZ</w:t>
      </w:r>
    </w:p>
    <w:p>
      <w:pPr>
        <w:pStyle w:val="SingleSpacing"/>
        <w:tabs>
          <w:tab w:val="clear" w:pos="720"/>
          <w:tab w:val="right" w:pos="3600" w:leader="none"/>
          <w:tab w:val="left" w:pos="4770" w:leader="none"/>
        </w:tabs>
        <w:spacing w:lineRule="auto" w:line="240"/>
        <w:rPr/>
      </w:pPr>
      <w:r>
        <w:rPr/>
      </w:r>
    </w:p>
    <w:p>
      <w:pPr>
        <w:pStyle w:val="SingleSpacing"/>
        <w:tabs>
          <w:tab w:val="clear" w:pos="720"/>
          <w:tab w:val="right" w:pos="3600" w:leader="none"/>
        </w:tabs>
        <w:spacing w:lineRule="auto" w:line="240"/>
        <w:rPr/>
      </w:pPr>
      <w:r>
        <w:rPr/>
        <w:tab/>
        <w:tab/>
        <w:t xml:space="preserve">Law Department </w:t>
      </w:r>
    </w:p>
    <w:p>
      <w:pPr>
        <w:pStyle w:val="SingleSpacing"/>
        <w:tabs>
          <w:tab w:val="clear" w:pos="720"/>
          <w:tab w:val="right" w:pos="3600" w:leader="none"/>
        </w:tabs>
        <w:spacing w:lineRule="auto" w:line="240"/>
        <w:rPr/>
      </w:pPr>
      <w:r>
        <w:rPr/>
        <w:tab/>
        <w:tab/>
        <w:t xml:space="preserve">PACIFIC GAS AND ELECTRIC COMPANY </w:t>
      </w:r>
    </w:p>
    <w:p>
      <w:pPr>
        <w:pStyle w:val="SingleSpacing"/>
        <w:tabs>
          <w:tab w:val="clear" w:pos="720"/>
          <w:tab w:val="right" w:pos="3600" w:leader="none"/>
        </w:tabs>
        <w:spacing w:lineRule="auto" w:line="240"/>
        <w:rPr/>
      </w:pPr>
      <w:r>
        <w:rPr/>
        <w:tab/>
        <w:tab/>
        <w:t>77 Beale Street, B30A</w:t>
      </w:r>
    </w:p>
    <w:p>
      <w:pPr>
        <w:pStyle w:val="SingleSpacing"/>
        <w:tabs>
          <w:tab w:val="clear" w:pos="720"/>
          <w:tab w:val="right" w:pos="3600" w:leader="none"/>
        </w:tabs>
        <w:spacing w:lineRule="auto" w:line="240"/>
        <w:rPr/>
      </w:pPr>
      <w:r>
        <w:rPr/>
        <w:tab/>
        <w:tab/>
        <w:t xml:space="preserve">San Francisco, CA  94105 </w:t>
      </w:r>
    </w:p>
    <w:p>
      <w:pPr>
        <w:pStyle w:val="SingleSpacing"/>
        <w:tabs>
          <w:tab w:val="clear" w:pos="720"/>
          <w:tab w:val="right" w:pos="3600" w:leader="none"/>
        </w:tabs>
        <w:spacing w:lineRule="auto" w:line="240"/>
        <w:rPr/>
      </w:pPr>
      <w:r>
        <w:rPr/>
        <w:tab/>
        <w:tab/>
        <w:t>Telephone:  (415) 973</w:t>
        <w:noBreakHyphen/>
        <w:t>6669</w:t>
      </w:r>
    </w:p>
    <w:p>
      <w:pPr>
        <w:pStyle w:val="SingleSpacing"/>
        <w:tabs>
          <w:tab w:val="clear" w:pos="720"/>
          <w:tab w:val="right" w:pos="3600" w:leader="none"/>
        </w:tabs>
        <w:spacing w:lineRule="auto" w:line="240" w:before="120" w:after="0"/>
        <w:rPr/>
      </w:pPr>
      <w:r>
        <w:rPr/>
        <w:tab/>
        <w:tab/>
        <w:t>Attorneys for</w:t>
      </w:r>
    </w:p>
    <w:p>
      <w:pPr>
        <w:pStyle w:val="SingleSpacing"/>
        <w:tabs>
          <w:tab w:val="clear" w:pos="720"/>
          <w:tab w:val="right" w:pos="3600" w:leader="none"/>
        </w:tabs>
        <w:spacing w:lineRule="auto" w:line="240"/>
        <w:rPr/>
      </w:pPr>
      <w:r>
        <w:rPr/>
        <w:tab/>
        <w:tab/>
        <w:t>PACIFIC GAS AND ELECTRIC COMPANY</w:t>
      </w:r>
    </w:p>
    <w:p>
      <w:pPr>
        <w:sectPr>
          <w:headerReference w:type="default" r:id="rId6"/>
          <w:headerReference w:type="first" r:id="rId7"/>
          <w:footerReference w:type="default" r:id="rId8"/>
          <w:footerReference w:type="first" r:id="rId9"/>
          <w:footnotePr>
            <w:numFmt w:val="decimal"/>
          </w:footnotePr>
          <w:type w:val="nextPage"/>
          <w:pgSz w:w="12240" w:h="15840"/>
          <w:pgMar w:left="1800" w:right="605" w:gutter="0" w:header="0" w:top="1354" w:footer="576" w:bottom="1080"/>
          <w:pgNumType w:start="1" w:fmt="decimal"/>
          <w:formProt w:val="false"/>
          <w:textDirection w:val="lrTb"/>
        </w:sectPr>
        <w:pStyle w:val="SingleSpacing"/>
        <w:tabs>
          <w:tab w:val="clear" w:pos="720"/>
          <w:tab w:val="right" w:pos="3600" w:leader="none"/>
        </w:tabs>
        <w:spacing w:lineRule="auto" w:line="240"/>
        <w:rPr/>
      </w:pPr>
      <w:r>
        <w:rPr/>
        <w:t>July 31, 2000</w:t>
      </w:r>
    </w:p>
    <w:p>
      <w:pPr>
        <w:pStyle w:val="Normal"/>
        <w:jc w:val="center"/>
        <w:rPr/>
      </w:pPr>
      <w:r>
        <w:rPr/>
        <w:t>PROOF OF SERVICE BY MAIL</w:t>
      </w:r>
    </w:p>
    <w:p>
      <w:pPr>
        <w:pStyle w:val="BodyText"/>
        <w:spacing w:before="120" w:after="0"/>
        <w:ind w:end="-450"/>
        <w:rPr/>
      </w:pPr>
      <w:r>
        <w:rPr/>
        <w:t>I, the undersigned, state that I am a citizen of the United States and employed in the City and County of San Francisco; that I am over the age of eighteen (18) years and not a party to the within cause; and that my business address is Pacific Gas and Electric Company, 77 Beale Street, San Francisco, California 94105.</w:t>
      </w:r>
    </w:p>
    <w:p>
      <w:pPr>
        <w:pStyle w:val="BodyText"/>
        <w:ind w:end="-450"/>
        <w:rPr/>
      </w:pPr>
      <w:r>
        <w:rPr/>
        <w:t>I am readily familiar with the business practice of Pacific Gas and Electric Company for collection and processing of correspondence for mailing with the United States Postal Service.  In the ordinary course of business, correspondence is deposited with the United States Postal Service the same day it is submitted for mailing.</w:t>
      </w:r>
    </w:p>
    <w:p>
      <w:pPr>
        <w:pStyle w:val="BodyText"/>
        <w:ind w:end="-450"/>
        <w:rPr/>
      </w:pPr>
      <w:r>
        <w:rPr/>
        <w:t>On July 31, 2000, I caused to be served a true copy of:</w:t>
      </w:r>
    </w:p>
    <w:p>
      <w:pPr>
        <w:pStyle w:val="Normal"/>
        <w:ind w:end="-450"/>
        <w:jc w:val="center"/>
        <w:rPr/>
      </w:pPr>
      <w:r>
        <w:rPr/>
      </w:r>
    </w:p>
    <w:p>
      <w:pPr>
        <w:pStyle w:val="Normal"/>
        <w:spacing w:lineRule="auto" w:line="240" w:before="60" w:after="0"/>
        <w:jc w:val="center"/>
        <w:rPr>
          <w:b/>
          <w:bCs/>
        </w:rPr>
      </w:pPr>
      <w:r>
        <w:rPr>
          <w:b/>
          <w:bCs/>
        </w:rPr>
        <w:t>REPLY BRIEF OF</w:t>
      </w:r>
    </w:p>
    <w:p>
      <w:pPr>
        <w:pStyle w:val="Normal"/>
        <w:spacing w:lineRule="auto" w:line="240"/>
        <w:jc w:val="center"/>
        <w:rPr>
          <w:b/>
          <w:bCs/>
        </w:rPr>
      </w:pPr>
      <w:r>
        <w:rPr>
          <w:b/>
          <w:bCs/>
        </w:rPr>
        <w:t xml:space="preserve">PACIFIC GAS AND ELECTRIC COMPANY </w:t>
      </w:r>
    </w:p>
    <w:p>
      <w:pPr>
        <w:pStyle w:val="BodyText"/>
        <w:spacing w:before="60" w:after="0"/>
        <w:ind w:hanging="0" w:end="-446"/>
        <w:rPr/>
      </w:pPr>
      <w:r>
        <w:rPr/>
        <w:t>by placing it for collection and mailing, in the course of ordinary business practice, with other correspondence of Pacific Gas and Electric Company, on July 31, 2000, enclosed in a sealed envelope, with postage fully prepaid, addressed to:</w:t>
      </w:r>
    </w:p>
    <w:p>
      <w:pPr>
        <w:pStyle w:val="BodyText"/>
        <w:ind w:hanging="0" w:end="-450"/>
        <w:jc w:val="center"/>
        <w:rPr/>
      </w:pPr>
      <w:r>
        <w:rPr/>
        <w:t>All Parties in I.99</w:t>
        <w:noBreakHyphen/>
        <w:t>07</w:t>
        <w:noBreakHyphen/>
        <w:t>003</w:t>
      </w:r>
    </w:p>
    <w:p>
      <w:pPr>
        <w:pStyle w:val="BodyText"/>
        <w:ind w:end="-450"/>
        <w:rPr/>
      </w:pPr>
      <w:r>
        <w:rPr/>
        <w:t>I certify and declare under penalty of perjury under the laws of the State of California that the foregoing is true and correct.</w:t>
      </w:r>
    </w:p>
    <w:p>
      <w:pPr>
        <w:pStyle w:val="BodyText"/>
        <w:ind w:end="-450"/>
        <w:rPr/>
      </w:pPr>
      <w:r>
        <w:rPr/>
        <w:t>Executed on July 31, 2000.</w:t>
      </w:r>
    </w:p>
    <w:p>
      <w:pPr>
        <w:pStyle w:val="Normal"/>
        <w:ind w:end="-450"/>
        <w:rPr/>
      </w:pPr>
      <w:r>
        <w:rPr/>
      </w:r>
    </w:p>
    <w:p>
      <w:pPr>
        <w:pStyle w:val="Normal"/>
        <w:ind w:end="-450"/>
        <w:rPr/>
      </w:pPr>
      <w:r>
        <w:rPr/>
      </w:r>
    </w:p>
    <w:p>
      <w:pPr>
        <w:pStyle w:val="SingleSpacing"/>
        <w:ind w:end="-450"/>
        <w:rPr/>
      </w:pPr>
      <w:r>
        <w:rPr/>
        <w:tab/>
        <w:tab/>
        <w:tab/>
        <w:tab/>
        <w:tab/>
        <w:tab/>
      </w:r>
      <w:r>
        <w:rPr>
          <w:u w:val="single"/>
        </w:rPr>
        <w:tab/>
        <w:tab/>
        <w:tab/>
        <w:tab/>
        <w:tab/>
        <w:tab/>
      </w:r>
    </w:p>
    <w:p>
      <w:pPr>
        <w:sectPr>
          <w:headerReference w:type="default" r:id="rId10"/>
          <w:footerReference w:type="default" r:id="rId11"/>
          <w:footerReference w:type="first" r:id="rId12"/>
          <w:footnotePr>
            <w:numFmt w:val="decimal"/>
          </w:footnotePr>
          <w:type w:val="nextPage"/>
          <w:pgSz w:w="12240" w:h="15840"/>
          <w:pgMar w:left="1440" w:right="1440" w:gutter="0" w:header="432" w:top="1296" w:footer="576" w:bottom="1080"/>
          <w:pgNumType w:start="1" w:fmt="decimal"/>
          <w:formProt w:val="false"/>
          <w:textDirection w:val="lrTb"/>
        </w:sectPr>
        <w:pStyle w:val="Normal"/>
        <w:spacing w:lineRule="exact" w:line="249"/>
        <w:ind w:end="-450"/>
        <w:rPr/>
      </w:pPr>
      <w:r>
        <w:rPr/>
        <w:tab/>
        <w:tab/>
        <w:tab/>
        <w:tab/>
        <w:tab/>
        <w:tab/>
      </w:r>
      <w:r>
        <w:rPr>
          <w:vertAlign w:val="superscript"/>
        </w:rPr>
        <w:t xml:space="preserve">  </w:t>
      </w:r>
      <w:r>
        <w:rPr/>
        <w:t xml:space="preserve">  </w:t>
        <w:tab/>
        <w:t xml:space="preserve">      STEPHANIE LOUIE</w:t>
      </w:r>
    </w:p>
    <w:p>
      <w:pPr>
        <w:sectPr>
          <w:headerReference w:type="default" r:id="rId13"/>
          <w:headerReference w:type="first" r:id="rId14"/>
          <w:footerReference w:type="default" r:id="rId15"/>
          <w:footerReference w:type="first" r:id="rId16"/>
          <w:footnotePr>
            <w:numFmt w:val="decimal"/>
          </w:footnotePr>
          <w:type w:val="nextPage"/>
          <w:pgSz w:w="12240" w:h="15840"/>
          <w:pgMar w:left="1800" w:right="605" w:gutter="0" w:header="288" w:top="2016" w:footer="576" w:bottom="1080"/>
          <w:pgNumType w:start="1" w:fmt="decimal"/>
          <w:formProt w:val="false"/>
          <w:titlePg/>
          <w:textDirection w:val="lrTb"/>
        </w:sectPr>
        <w:pStyle w:val="TOC1"/>
        <w:spacing w:before="240" w:after="240"/>
        <w:rPr>
          <w:lang w:val="en-CA"/>
        </w:rPr>
      </w:pPr>
      <w:bookmarkStart w:id="1" w:name="TOC"/>
      <w:bookmarkEnd w:id="1"/>
      <w:r>
        <w:rPr>
          <w:lang w:val="en-CA"/>
        </w:rPr>
        <w:t>I.</w:t>
        <w:tab/>
      </w:r>
    </w:p>
    <w:p>
      <w:pPr>
        <w:pStyle w:val="Normal"/>
        <w:jc w:val="end"/>
        <w:rPr>
          <w:smallCaps/>
        </w:rPr>
      </w:pPr>
      <w:bookmarkStart w:id="2" w:name="TOC"/>
      <w:bookmarkEnd w:id="2"/>
      <w:r>
        <w:rPr>
          <w:smallCaps/>
        </w:rPr>
        <w:t>Page(s)</w:t>
      </w:r>
    </w:p>
    <w:p>
      <w:pPr>
        <w:pStyle w:val="Normal"/>
        <w:rPr>
          <w:smallCaps/>
        </w:rPr>
      </w:pPr>
      <w:r>
        <w:rPr>
          <w:smallCaps/>
        </w:rPr>
      </w:r>
    </w:p>
    <w:p>
      <w:pPr>
        <w:pStyle w:val="BodyText"/>
        <w:ind w:hanging="0" w:end="0"/>
        <w:rPr/>
      </w:pPr>
      <w:r>
        <w:rPr/>
        <w:t>Please do not delete any of the above “end of section” breaks!</w:t>
      </w:r>
    </w:p>
    <w:p>
      <w:pPr>
        <w:pStyle w:val="BodyText"/>
        <w:spacing w:lineRule="exact" w:line="240"/>
        <w:ind w:hanging="0" w:end="0"/>
        <w:rPr>
          <w:u w:val="single"/>
        </w:rPr>
      </w:pPr>
      <w:r>
        <w:rPr>
          <w:u w:val="single"/>
        </w:rPr>
      </w:r>
    </w:p>
    <w:p>
      <w:pPr>
        <w:pStyle w:val="Normal"/>
        <w:jc w:val="center"/>
        <w:rPr>
          <w:u w:val="single"/>
        </w:rPr>
      </w:pPr>
      <w:r>
        <w:rPr>
          <w:u w:val="single"/>
        </w:rPr>
      </w:r>
    </w:p>
    <w:sectPr>
      <w:headerReference w:type="default" r:id="rId17"/>
      <w:headerReference w:type="first" r:id="rId18"/>
      <w:footerReference w:type="default" r:id="rId19"/>
      <w:footerReference w:type="first" r:id="rId20"/>
      <w:footnotePr>
        <w:numFmt w:val="decimal"/>
      </w:footnotePr>
      <w:type w:val="nextPage"/>
      <w:pgSz w:w="12240" w:h="15840"/>
      <w:pgMar w:left="1440" w:right="1440" w:gutter="0" w:header="432" w:top="1296" w:footer="576" w:bottom="108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0414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10414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2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rStyle w:val="PageNumber"/>
        <w:rFonts w:eastAsia="Times New Roman" w:cs="Times New Roman"/>
      </w:rPr>
      <w:fldChar w:fldCharType="begin"/>
    </w:r>
    <w:r>
      <w:rPr>
        <w:rStyle w:val="PageNumber"/>
        <w:rFonts w:eastAsia="Times New Roman" w:cs="Times New Roman"/>
      </w:rPr>
      <w:instrText xml:space="preserve"> PAGE </w:instrText>
    </w:r>
    <w:r>
      <w:rPr>
        <w:rStyle w:val="PageNumber"/>
        <w:rFonts w:eastAsia="Times New Roman" w:cs="Times New Roman"/>
      </w:rPr>
      <w:fldChar w:fldCharType="separate"/>
    </w:r>
    <w:r>
      <w:rPr>
        <w:rStyle w:val="PageNumber"/>
        <w:rFonts w:eastAsia="Times New Roman" w:cs="Times New Roman"/>
      </w:rPr>
      <w:t>4</w:t>
    </w:r>
    <w:r>
      <w:rPr>
        <w:rStyle w:val="PageNumber"/>
        <w:rFonts w:eastAsia="Times New Roman" w:cs="Times New Roman"/>
      </w:rPr>
      <w:fldChar w:fldCharType="end"/>
    </w:r>
    <w:r>
      <w:rPr>
        <w:rStyle w:val="PageNumber"/>
        <w:rFonts w:eastAsia="Times New Roman" w:cs="Times New Roman"/>
      </w:rPr>
      <w:t xml:space="preserve"> -</w:t>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 roman </w:instrText>
    </w:r>
    <w:r>
      <w:rPr/>
      <w:fldChar w:fldCharType="separate"/>
    </w:r>
    <w:r>
      <w:rPr/>
      <w:t>i</w:t>
    </w:r>
    <w:r>
      <w:rPr/>
      <w:fldChar w:fldCharType="end"/>
    </w:r>
    <w:r>
      <w:rPr/>
      <w:t xml:space="preserve">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 roman </w:instrText>
    </w:r>
    <w:r>
      <w:rPr/>
      <w:fldChar w:fldCharType="separate"/>
    </w:r>
    <w:r>
      <w:rPr/>
      <w:t>iii</w:t>
    </w:r>
    <w:r>
      <w:rPr/>
      <w:fldChar w:fldCharType="end"/>
    </w:r>
    <w:r>
      <w:rPr/>
      <w:t xml:space="preserve"> -</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432" w:start="432" w:end="0"/>
        <w:rPr/>
      </w:pPr>
      <w:r>
        <w:rPr>
          <w:rStyle w:val="FootnoteCharacters"/>
        </w:rPr>
        <w:footnoteRef/>
      </w:r>
      <w:r>
        <w:rPr>
          <w:vertAlign w:val="superscript"/>
        </w:rPr>
        <w:t>/</w:t>
      </w:r>
      <w:r>
        <w:rPr/>
        <w:tab/>
        <w:t>PG&amp;E submits this reply pursuant to the Administrative Law Judge’s (ALJ) oral procedural ruling (Tr. Vol. 9, 1238:19).</w:t>
      </w:r>
    </w:p>
  </w:footnote>
  <w:footnote w:id="3">
    <w:p>
      <w:pPr>
        <w:pStyle w:val="FootnoteText"/>
        <w:spacing w:before="0" w:after="120"/>
        <w:ind w:hanging="432" w:start="432" w:end="0"/>
        <w:rPr/>
      </w:pPr>
      <w:r>
        <w:rPr>
          <w:rStyle w:val="FootnoteCharacters"/>
        </w:rPr>
        <w:footnoteRef/>
      </w:r>
      <w:r>
        <w:rPr>
          <w:vertAlign w:val="superscript"/>
        </w:rPr>
        <w:t>/</w:t>
      </w:r>
      <w:r>
        <w:rPr/>
        <w:tab/>
        <w:t>Opening Brief of Kern River, p. 4.</w:t>
      </w:r>
    </w:p>
  </w:footnote>
  <w:footnote w:id="4">
    <w:p>
      <w:pPr>
        <w:pStyle w:val="FootnoteText"/>
        <w:spacing w:before="0" w:after="120"/>
        <w:ind w:hanging="432" w:start="432" w:end="0"/>
        <w:rPr/>
      </w:pPr>
      <w:r>
        <w:rPr>
          <w:rStyle w:val="FootnoteCharacters"/>
        </w:rPr>
        <w:footnoteRef/>
      </w:r>
      <w:r>
        <w:rPr>
          <w:vertAlign w:val="superscript"/>
        </w:rPr>
        <w:t>/</w:t>
      </w:r>
      <w:r>
        <w:rPr/>
        <w:tab/>
        <w:t>Tr. Vol. 6, 676:16</w:t>
        <w:noBreakHyphen/>
        <w:t>677:6 (PG&amp;E - Hall); PG&amp;E Opening Brief, 5:13</w:t>
        <w:noBreakHyphen/>
        <w:t>19.</w:t>
      </w:r>
    </w:p>
  </w:footnote>
  <w:footnote w:id="5">
    <w:p>
      <w:pPr>
        <w:pStyle w:val="FootnoteText"/>
        <w:spacing w:before="0" w:after="120"/>
        <w:ind w:hanging="432" w:start="432" w:end="0"/>
        <w:rPr/>
      </w:pPr>
      <w:r>
        <w:rPr>
          <w:rStyle w:val="FootnoteCharacters"/>
        </w:rPr>
        <w:footnoteRef/>
      </w:r>
      <w:r>
        <w:rPr>
          <w:vertAlign w:val="superscript"/>
        </w:rPr>
        <w:t>/</w:t>
      </w:r>
      <w:r>
        <w:rPr/>
        <w:tab/>
        <w:t>El Paso Opening Brief, p. 7.</w:t>
      </w:r>
    </w:p>
  </w:footnote>
  <w:footnote w:id="6">
    <w:p>
      <w:pPr>
        <w:pStyle w:val="FootnoteText"/>
        <w:spacing w:before="0" w:after="120"/>
        <w:ind w:hanging="432" w:start="432" w:end="0"/>
        <w:rPr/>
      </w:pPr>
      <w:r>
        <w:rPr>
          <w:rStyle w:val="FootnoteCharacters"/>
        </w:rPr>
        <w:footnoteRef/>
      </w:r>
      <w:r>
        <w:rPr>
          <w:vertAlign w:val="superscript"/>
        </w:rPr>
        <w:t>/</w:t>
      </w:r>
      <w:r>
        <w:rPr/>
        <w:tab/>
        <w:t>Id; emphasis added.</w:t>
      </w:r>
    </w:p>
  </w:footnote>
  <w:footnote w:id="7">
    <w:p>
      <w:pPr>
        <w:pStyle w:val="FootnoteText"/>
        <w:spacing w:before="0" w:after="120"/>
        <w:ind w:hanging="432" w:start="432" w:end="0"/>
        <w:rPr/>
      </w:pPr>
      <w:r>
        <w:rPr>
          <w:rStyle w:val="FootnoteCharacters"/>
        </w:rPr>
        <w:footnoteRef/>
      </w:r>
      <w:r>
        <w:rPr>
          <w:vertAlign w:val="superscript"/>
        </w:rPr>
        <w:t>/</w:t>
      </w:r>
      <w:r>
        <w:rPr/>
        <w:tab/>
        <w:t>PG&amp;E’s Opening Brief, p. 7, lns. 5</w:t>
        <w:noBreakHyphen/>
        <w:t>22.</w:t>
      </w:r>
    </w:p>
  </w:footnote>
  <w:footnote w:id="8">
    <w:p>
      <w:pPr>
        <w:pStyle w:val="FootnoteText"/>
        <w:spacing w:before="0" w:after="120"/>
        <w:ind w:hanging="432" w:start="432" w:end="0"/>
        <w:rPr/>
      </w:pPr>
      <w:r>
        <w:rPr>
          <w:rStyle w:val="FootnoteCharacters"/>
        </w:rPr>
        <w:footnoteRef/>
      </w:r>
      <w:r>
        <w:rPr>
          <w:vertAlign w:val="superscript"/>
        </w:rPr>
        <w:t>/</w:t>
      </w:r>
      <w:r>
        <w:rPr/>
        <w:tab/>
        <w:t>El Paso Opening Brief, p. 6.</w:t>
      </w:r>
    </w:p>
  </w:footnote>
  <w:footnote w:id="9">
    <w:p>
      <w:pPr>
        <w:pStyle w:val="FootnoteText"/>
        <w:spacing w:before="0" w:after="120"/>
        <w:ind w:hanging="432" w:start="432" w:end="0"/>
        <w:rPr/>
      </w:pPr>
      <w:r>
        <w:rPr>
          <w:rStyle w:val="FootnoteCharacters"/>
        </w:rPr>
        <w:footnoteRef/>
      </w:r>
      <w:r>
        <w:rPr>
          <w:vertAlign w:val="superscript"/>
        </w:rPr>
        <w:t>/</w:t>
      </w:r>
      <w:r>
        <w:rPr/>
        <w:tab/>
        <w:t>Ex. 1, Appendix B, p. 2.</w:t>
      </w:r>
    </w:p>
  </w:footnote>
  <w:footnote w:id="10">
    <w:p>
      <w:pPr>
        <w:pStyle w:val="FootnoteText"/>
        <w:spacing w:before="0" w:after="120"/>
        <w:ind w:hanging="432" w:start="432" w:end="0"/>
        <w:rPr/>
      </w:pPr>
      <w:r>
        <w:rPr>
          <w:rStyle w:val="FootnoteCharacters"/>
        </w:rPr>
        <w:footnoteRef/>
      </w:r>
      <w:r>
        <w:rPr>
          <w:vertAlign w:val="superscript"/>
        </w:rPr>
        <w:t>/</w:t>
      </w:r>
      <w:r>
        <w:rPr/>
        <w:tab/>
        <w:t>Id.</w:t>
      </w:r>
    </w:p>
  </w:footnote>
  <w:footnote w:id="11">
    <w:p>
      <w:pPr>
        <w:pStyle w:val="FootnoteText"/>
        <w:spacing w:before="0" w:after="120"/>
        <w:ind w:hanging="432" w:start="432" w:end="0"/>
        <w:rPr/>
      </w:pPr>
      <w:r>
        <w:rPr>
          <w:rStyle w:val="FootnoteCharacters"/>
        </w:rPr>
        <w:footnoteRef/>
      </w:r>
      <w:r>
        <w:rPr>
          <w:vertAlign w:val="superscript"/>
        </w:rPr>
        <w:t>/</w:t>
      </w:r>
      <w:r>
        <w:rPr/>
        <w:tab/>
        <w:t>Tr. Vol. 4, 400:18</w:t>
        <w:noBreakHyphen/>
        <w:t>21; emphasis added.</w:t>
      </w:r>
    </w:p>
  </w:footnote>
  <w:footnote w:id="12">
    <w:p>
      <w:pPr>
        <w:pStyle w:val="FootnoteText"/>
        <w:spacing w:before="0" w:after="120"/>
        <w:ind w:hanging="432" w:start="432" w:end="0"/>
        <w:rPr/>
      </w:pPr>
      <w:r>
        <w:rPr>
          <w:rStyle w:val="FootnoteCharacters"/>
        </w:rPr>
        <w:footnoteRef/>
      </w:r>
      <w:r>
        <w:rPr>
          <w:vertAlign w:val="superscript"/>
        </w:rPr>
        <w:t>/</w:t>
      </w:r>
      <w:r>
        <w:rPr/>
        <w:tab/>
        <w:t>El Paso Opening Brief, p. 8.</w:t>
      </w:r>
    </w:p>
  </w:footnote>
  <w:footnote w:id="13">
    <w:p>
      <w:pPr>
        <w:pStyle w:val="FootnoteText"/>
        <w:spacing w:before="0" w:after="120"/>
        <w:ind w:hanging="432" w:start="432" w:end="0"/>
        <w:rPr/>
      </w:pPr>
      <w:r>
        <w:rPr>
          <w:rStyle w:val="FootnoteCharacters"/>
        </w:rPr>
        <w:footnoteRef/>
      </w:r>
      <w:r>
        <w:rPr>
          <w:vertAlign w:val="superscript"/>
        </w:rPr>
        <w:t>/</w:t>
      </w:r>
      <w:r>
        <w:rPr/>
        <w:tab/>
        <w:t>Ex. 700, 7:21</w:t>
        <w:noBreakHyphen/>
        <w:t>8:7.</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end w:val="double" w:sz="6" w:space="0" w:color="000000"/>
          </w:tcBorders>
        </w:tcPr>
        <w:p>
          <w:pPr>
            <w:pStyle w:val="HeaderNumbers"/>
            <w:spacing w:lineRule="exact" w:line="480" w:before="720" w:after="0"/>
            <w:ind w:hanging="0" w:start="0" w:end="144"/>
            <w:jc w:val="end"/>
            <w:rPr/>
          </w:pPr>
          <w:bookmarkStart w:id="0" w:name="LineNo"/>
          <w:bookmarkEnd w:id="0"/>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Normal"/>
            <w:snapToGrid w:val="false"/>
            <w:jc w:val="end"/>
            <w:rPr/>
          </w:pPr>
          <w:r>
            <w:rPr/>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er"/>
            <w:snapToGrid w:val="false"/>
            <w:rPr>
              <w:rFonts w:ascii="Times New Roman" w:hAnsi="Times New Roman" w:eastAsia="Times New Roman" w:cs="Times New Roman"/>
            </w:rPr>
          </w:pPr>
          <w:r>
            <w:rPr>
              <w:rFonts w:eastAsia="Times New Roman" w:cs="Times New Roman" w:ascii="Times New Roman" w:hAnsi="Times New Roman"/>
            </w:rPr>
          </w:r>
        </w:p>
      </w:tc>
      <w:tc>
        <w:tcPr>
          <w:tcW w:w="4788" w:type="dxa"/>
          <w:tcBorders/>
        </w:tcPr>
        <w:p>
          <w:pPr>
            <w:pStyle w:val="Header"/>
            <w:snapToGrid w:val="false"/>
            <w:jc w:val="end"/>
            <w:rPr>
              <w:rFonts w:ascii="Times New Roman" w:hAnsi="Times New Roman" w:eastAsia="Times New Roman" w:cs="Times New Roman"/>
              <w:sz w:val="16"/>
              <w:szCs w:val="16"/>
            </w:rPr>
          </w:pPr>
          <w:r>
            <w:rPr>
              <w:rFonts w:eastAsia="Times New Roman" w:cs="Times New Roman" w:ascii="Times New Roman" w:hAnsi="Times New Roman"/>
              <w:sz w:val="16"/>
              <w:szCs w:val="16"/>
            </w:rPr>
          </w:r>
        </w:p>
      </w:tc>
    </w:tr>
  </w:tbl>
  <w:p>
    <w:pPr>
      <w:pStyle w:val="Header"/>
      <w:jc w:val="end"/>
      <w:rPr>
        <w:rFonts w:ascii="Times New Roman" w:hAnsi="Times New Roman" w:eastAsia="Times New Roman" w:cs="Times New Roman"/>
      </w:rPr>
    </w:pPr>
    <w:r>
      <w:rPr>
        <w:rFonts w:eastAsia="Times New Roman" w:cs="Times New Roman" w:ascii="Times New Roman" w:hAnsi="Times New Roman"/>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4">
              <wp:simplePos x="0" y="0"/>
              <wp:positionH relativeFrom="column">
                <wp:align>left</wp:align>
              </wp:positionH>
              <wp:positionV relativeFrom="line">
                <wp:posOffset>635</wp:posOffset>
              </wp:positionV>
              <wp:extent cx="6826250" cy="9525000"/>
              <wp:effectExtent l="0" t="0" r="0" b="0"/>
              <wp:wrapNone/>
              <wp:docPr id="2" name="Frame2"/>
              <a:graphic xmlns:a="http://schemas.openxmlformats.org/drawingml/2006/main">
                <a:graphicData uri="http://schemas.microsoft.com/office/word/2010/wordprocessingShape">
                  <wps:wsp>
                    <wps:cNvSpPr txBox="1"/>
                    <wps:spPr>
                      <a:xfrm>
                        <a:off x="0" y="0"/>
                        <a:ext cx="6826250" cy="9525000"/>
                      </a:xfrm>
                      <a:prstGeom prst="rect"/>
                      <a:solidFill>
                        <a:srgbClr val="FFFFFF"/>
                      </a:solidFill>
                    </wps:spPr>
                    <wps:txbx>
                      <w:txbxContent>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Normal"/>
                                  <w:snapToGrid w:val="false"/>
                                  <w:rPr/>
                                </w:pPr>
                                <w:r>
                                  <w:rPr/>
                                </w:r>
                              </w:p>
                            </w:tc>
                          </w:tr>
                        </w:tbl>
                      </w:txbxContent>
                    </wps:txbx>
                    <wps:bodyPr anchor="t" lIns="0" tIns="0" rIns="0" bIns="0">
                      <a:noAutofit/>
                    </wps:bodyPr>
                  </wps:wsp>
                </a:graphicData>
              </a:graphic>
            </wp:anchor>
          </w:drawing>
        </mc:Choice>
        <mc:Fallback>
          <w:pict>
            <v:rect style="position:absolute;rotation:-0;width:537.5pt;height:750pt;mso-wrap-distance-left:0pt;mso-wrap-distance-right:0pt;mso-wrap-distance-top:0pt;mso-wrap-distance-bottom:0pt;margin-top:0pt;mso-position-vertical:top;mso-position-vertical-relative:text;margin-left:0pt;mso-position-horizontal:left;mso-position-horizontal-relative:text">
              <v:textbox inset="0in,0in,0in,0in">
                <w:txbxContent>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Normal"/>
                            <w:snapToGrid w:val="false"/>
                            <w:rPr/>
                          </w:pPr>
                          <w:r>
                            <w:rPr/>
                          </w:r>
                        </w:p>
                      </w:tc>
                    </w:tr>
                  </w:tbl>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2">
              <wp:simplePos x="0" y="0"/>
              <wp:positionH relativeFrom="column">
                <wp:align>left</wp:align>
              </wp:positionH>
              <wp:positionV relativeFrom="line">
                <wp:posOffset>635</wp:posOffset>
              </wp:positionV>
              <wp:extent cx="7772400" cy="9525000"/>
              <wp:effectExtent l="0" t="0" r="0" b="0"/>
              <wp:wrapNone/>
              <wp:docPr id="3" name="Frame4"/>
              <a:graphic xmlns:a="http://schemas.openxmlformats.org/drawingml/2006/main">
                <a:graphicData uri="http://schemas.microsoft.com/office/word/2010/wordprocessingShape">
                  <wps:wsp>
                    <wps:cNvSpPr txBox="1"/>
                    <wps:spPr>
                      <a:xfrm>
                        <a:off x="0" y="0"/>
                        <a:ext cx="7772400" cy="9525000"/>
                      </a:xfrm>
                      <a:prstGeom prst="rect"/>
                      <a:solidFill>
                        <a:srgbClr val="FFFFFF"/>
                      </a:solidFill>
                    </wps:spPr>
                    <wps:txbx>
                      <w:txbxContent>
                        <w:tbl>
                          <w:tblPr>
                            <w:tblW w:w="20960" w:type="dxa"/>
                            <w:jc w:val="start"/>
                            <w:tblInd w:w="-720" w:type="dxa"/>
                            <w:tblLayout w:type="fixed"/>
                            <w:tblCellMar>
                              <w:top w:w="0" w:type="dxa"/>
                              <w:start w:w="0" w:type="dxa"/>
                              <w:bottom w:w="0" w:type="dxa"/>
                              <w:end w:w="0" w:type="dxa"/>
                            </w:tblCellMar>
                          </w:tblPr>
                          <w:tblGrid>
                            <w:gridCol w:w="540"/>
                            <w:gridCol w:w="10210"/>
                            <w:gridCol w:w="10210"/>
                          </w:tblGrid>
                          <w:tr>
                            <w:trPr>
                              <w:trHeight w:val="15000" w:hRule="exact"/>
                            </w:trPr>
                            <w:tc>
                              <w:tcPr>
                                <w:tcW w:w="54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Header"/>
                                  <w:spacing w:before="840" w:after="0"/>
                                  <w:jc w:val="center"/>
                                  <w:rPr>
                                    <w:rFonts w:ascii="Times New Roman" w:hAnsi="Times New Roman" w:eastAsia="Times New Roman" w:cs="Times New Roman"/>
                                    <w:b/>
                                    <w:bCs/>
                                    <w:smallCaps/>
                                  </w:rPr>
                                </w:pPr>
                                <w:r>
                                  <w:rPr>
                                    <w:rFonts w:eastAsia="Times New Roman" w:cs="Times New Roman" w:ascii="Times New Roman" w:hAnsi="Times New Roman"/>
                                    <w:b/>
                                    <w:bCs/>
                                    <w:smallCaps/>
                                  </w:rPr>
                                  <w:t>Table of Contents</w:t>
                                </w:r>
                              </w:p>
                              <w:p>
                                <w:pPr>
                                  <w:pStyle w:val="Normal"/>
                                  <w:jc w:val="center"/>
                                  <w:rPr>
                                    <w:b/>
                                    <w:bCs/>
                                    <w:smallCaps/>
                                  </w:rPr>
                                </w:pPr>
                                <w:r>
                                  <w:rPr>
                                    <w:b/>
                                    <w:bCs/>
                                    <w:smallCaps/>
                                  </w:rPr>
                                  <w:t>(continued)</w:t>
                                </w:r>
                              </w:p>
                              <w:p>
                                <w:pPr>
                                  <w:pStyle w:val="Normal"/>
                                  <w:ind w:end="173"/>
                                  <w:jc w:val="end"/>
                                  <w:rPr>
                                    <w:b/>
                                    <w:bCs/>
                                    <w:smallCaps/>
                                  </w:rPr>
                                </w:pPr>
                                <w:r>
                                  <w:rPr>
                                    <w:b/>
                                    <w:bCs/>
                                    <w:smallCaps/>
                                  </w:rPr>
                                  <w:t>Page</w:t>
                                </w:r>
                              </w:p>
                              <w:p>
                                <w:pPr>
                                  <w:pStyle w:val="Normal"/>
                                  <w:ind w:end="173"/>
                                  <w:jc w:val="end"/>
                                  <w:rPr/>
                                </w:pPr>
                                <w:r>
                                  <w:rPr/>
                                </w:r>
                              </w:p>
                              <w:p>
                                <w:pPr>
                                  <w:pStyle w:val="Normal"/>
                                  <w:rPr/>
                                </w:pPr>
                                <w:r>
                                  <w:rPr/>
                                </w:r>
                              </w:p>
                            </w:tc>
                            <w:tc>
                              <w:tcPr>
                                <w:tcW w:w="10210" w:type="dxa"/>
                                <w:tcBorders>
                                  <w:end w:val="single" w:sz="6" w:space="0" w:color="000000"/>
                                </w:tcBorders>
                              </w:tcPr>
                              <w:p>
                                <w:pPr>
                                  <w:pStyle w:val="Normal"/>
                                  <w:snapToGrid w:val="false"/>
                                  <w:rPr/>
                                </w:pPr>
                                <w:r>
                                  <w:rPr/>
                                </w:r>
                              </w:p>
                            </w:tc>
                          </w:tr>
                        </w:tbl>
                      </w:txbxContent>
                    </wps:txbx>
                    <wps:bodyPr anchor="t" lIns="0" tIns="0" rIns="0" bIns="0">
                      <a:noAutofit/>
                    </wps:bodyPr>
                  </wps:wsp>
                </a:graphicData>
              </a:graphic>
            </wp:anchor>
          </w:drawing>
        </mc:Choice>
        <mc:Fallback>
          <w:pict>
            <v:rect style="position:absolute;rotation:-0;width:612pt;height:750pt;mso-wrap-distance-left:0pt;mso-wrap-distance-right:0pt;mso-wrap-distance-top:0pt;mso-wrap-distance-bottom:0pt;margin-top:0pt;mso-position-vertical:top;mso-position-vertical-relative:text;margin-left:-90pt;mso-position-horizontal:left;mso-position-horizontal-relative:text">
              <v:textbox inset="0in,0in,0in,0in">
                <w:txbxContent>
                  <w:tbl>
                    <w:tblPr>
                      <w:tblW w:w="20960" w:type="dxa"/>
                      <w:jc w:val="start"/>
                      <w:tblInd w:w="-720" w:type="dxa"/>
                      <w:tblLayout w:type="fixed"/>
                      <w:tblCellMar>
                        <w:top w:w="0" w:type="dxa"/>
                        <w:start w:w="0" w:type="dxa"/>
                        <w:bottom w:w="0" w:type="dxa"/>
                        <w:end w:w="0" w:type="dxa"/>
                      </w:tblCellMar>
                    </w:tblPr>
                    <w:tblGrid>
                      <w:gridCol w:w="540"/>
                      <w:gridCol w:w="10210"/>
                      <w:gridCol w:w="10210"/>
                    </w:tblGrid>
                    <w:tr>
                      <w:trPr>
                        <w:trHeight w:val="15000" w:hRule="exact"/>
                      </w:trPr>
                      <w:tc>
                        <w:tcPr>
                          <w:tcW w:w="54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Header"/>
                            <w:spacing w:before="840" w:after="0"/>
                            <w:jc w:val="center"/>
                            <w:rPr>
                              <w:rFonts w:ascii="Times New Roman" w:hAnsi="Times New Roman" w:eastAsia="Times New Roman" w:cs="Times New Roman"/>
                              <w:b/>
                              <w:bCs/>
                              <w:smallCaps/>
                            </w:rPr>
                          </w:pPr>
                          <w:r>
                            <w:rPr>
                              <w:rFonts w:eastAsia="Times New Roman" w:cs="Times New Roman" w:ascii="Times New Roman" w:hAnsi="Times New Roman"/>
                              <w:b/>
                              <w:bCs/>
                              <w:smallCaps/>
                            </w:rPr>
                            <w:t>Table of Contents</w:t>
                          </w:r>
                        </w:p>
                        <w:p>
                          <w:pPr>
                            <w:pStyle w:val="Normal"/>
                            <w:jc w:val="center"/>
                            <w:rPr>
                              <w:b/>
                              <w:bCs/>
                              <w:smallCaps/>
                            </w:rPr>
                          </w:pPr>
                          <w:r>
                            <w:rPr>
                              <w:b/>
                              <w:bCs/>
                              <w:smallCaps/>
                            </w:rPr>
                            <w:t>(continued)</w:t>
                          </w:r>
                        </w:p>
                        <w:p>
                          <w:pPr>
                            <w:pStyle w:val="Normal"/>
                            <w:ind w:end="173"/>
                            <w:jc w:val="end"/>
                            <w:rPr>
                              <w:b/>
                              <w:bCs/>
                              <w:smallCaps/>
                            </w:rPr>
                          </w:pPr>
                          <w:r>
                            <w:rPr>
                              <w:b/>
                              <w:bCs/>
                              <w:smallCaps/>
                            </w:rPr>
                            <w:t>Page</w:t>
                          </w:r>
                        </w:p>
                        <w:p>
                          <w:pPr>
                            <w:pStyle w:val="Normal"/>
                            <w:ind w:end="173"/>
                            <w:jc w:val="end"/>
                            <w:rPr/>
                          </w:pPr>
                          <w:r>
                            <w:rPr/>
                          </w:r>
                        </w:p>
                        <w:p>
                          <w:pPr>
                            <w:pStyle w:val="Normal"/>
                            <w:rPr/>
                          </w:pPr>
                          <w:r>
                            <w:rPr/>
                          </w:r>
                        </w:p>
                      </w:tc>
                      <w:tc>
                        <w:tcPr>
                          <w:tcW w:w="10210" w:type="dxa"/>
                          <w:tcBorders>
                            <w:end w:val="single" w:sz="6" w:space="0" w:color="000000"/>
                          </w:tcBorders>
                        </w:tcPr>
                        <w:p>
                          <w:pPr>
                            <w:pStyle w:val="Normal"/>
                            <w:snapToGrid w:val="false"/>
                            <w:rPr/>
                          </w:pPr>
                          <w:r>
                            <w:rPr/>
                          </w:r>
                        </w:p>
                      </w:tc>
                    </w:tr>
                  </w:tbl>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1" allowOverlap="1" relativeHeight="0">
              <wp:simplePos x="0" y="0"/>
              <wp:positionH relativeFrom="column">
                <wp:align>left</wp:align>
              </wp:positionH>
              <wp:positionV relativeFrom="line">
                <wp:align>top</wp:align>
              </wp:positionV>
              <wp:extent cx="6858000" cy="14605"/>
              <wp:effectExtent l="0" t="0" r="0" b="0"/>
              <wp:wrapNone/>
              <wp:docPr id="4" name="Frame3"/>
              <a:graphic xmlns:a="http://schemas.openxmlformats.org/drawingml/2006/main">
                <a:graphicData uri="http://schemas.microsoft.com/office/word/2010/wordprocessingShape">
                  <wps:wsp>
                    <wps:cNvSpPr txBox="1"/>
                    <wps:spPr>
                      <a:xfrm>
                        <a:off x="0" y="0"/>
                        <a:ext cx="6858000" cy="14605"/>
                      </a:xfrm>
                      <a:prstGeom prst="rect"/>
                      <a:solidFill>
                        <a:srgbClr val="FFFFFF"/>
                      </a:solidFill>
                    </wps:spPr>
                    <wps:txbx>
                      <w:txbxContent>
                        <w:tbl>
                          <w:tblPr>
                            <w:tblW w:w="10800" w:type="dxa"/>
                            <w:jc w:val="start"/>
                            <w:tblInd w:w="-720" w:type="dxa"/>
                            <w:tblLayout w:type="fixed"/>
                            <w:tblCellMar>
                              <w:top w:w="0" w:type="dxa"/>
                              <w:start w:w="0" w:type="dxa"/>
                              <w:bottom w:w="0" w:type="dxa"/>
                              <w:end w:w="0" w:type="dxa"/>
                            </w:tblCellMar>
                          </w:tblPr>
                          <w:tblGrid>
                            <w:gridCol w:w="540"/>
                            <w:gridCol w:w="10260"/>
                          </w:tblGrid>
                          <w:tr>
                            <w:trPr>
                              <w:trHeight w:val="15000" w:hRule="exact"/>
                            </w:trPr>
                            <w:tc>
                              <w:tcPr>
                                <w:tcW w:w="54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60" w:type="dxa"/>
                                <w:tcBorders>
                                  <w:end w:val="single" w:sz="6" w:space="0" w:color="000000"/>
                                </w:tcBorders>
                              </w:tcPr>
                              <w:p>
                                <w:pPr>
                                  <w:pStyle w:val="Normal"/>
                                  <w:spacing w:before="900" w:after="0"/>
                                  <w:jc w:val="center"/>
                                  <w:rPr>
                                    <w:b/>
                                    <w:bCs/>
                                    <w:smallCaps/>
                                  </w:rPr>
                                </w:pPr>
                                <w:r>
                                  <w:rPr>
                                    <w:b/>
                                    <w:bCs/>
                                    <w:smallCaps/>
                                  </w:rPr>
                                  <w:t>Table of Contents</w:t>
                                </w:r>
                              </w:p>
                              <w:p>
                                <w:pPr>
                                  <w:pStyle w:val="Normal"/>
                                  <w:rPr>
                                    <w:b/>
                                    <w:bCs/>
                                    <w:smallCaps/>
                                  </w:rPr>
                                </w:pPr>
                                <w:r>
                                  <w:rPr>
                                    <w:b/>
                                    <w:bCs/>
                                    <w:smallCaps/>
                                  </w:rPr>
                                </w:r>
                              </w:p>
                              <w:p>
                                <w:pPr>
                                  <w:pStyle w:val="Normal"/>
                                  <w:jc w:val="end"/>
                                  <w:rPr/>
                                </w:pPr>
                                <w:r>
                                  <w:rPr/>
                                </w:r>
                              </w:p>
                              <w:p>
                                <w:pPr>
                                  <w:pStyle w:val="Normal"/>
                                  <w:jc w:val="end"/>
                                  <w:rPr/>
                                </w:pPr>
                                <w:r>
                                  <w:rPr/>
                                </w:r>
                              </w:p>
                            </w:tc>
                          </w:tr>
                          <w:tr>
                            <w:trPr>
                              <w:trHeight w:val="15000" w:hRule="exact"/>
                            </w:trPr>
                            <w:tc>
                              <w:tcPr>
                                <w:tcW w:w="540" w:type="dxa"/>
                                <w:tcBorders>
                                  <w:end w:val="double" w:sz="6" w:space="0" w:color="000000"/>
                                </w:tcBorders>
                              </w:tcPr>
                              <w:p>
                                <w:pPr>
                                  <w:pStyle w:val="HeaderNumbers"/>
                                  <w:snapToGrid w:val="false"/>
                                  <w:spacing w:before="700" w:after="0"/>
                                  <w:rPr/>
                                </w:pPr>
                                <w:r>
                                  <w:rPr/>
                                </w:r>
                              </w:p>
                            </w:tc>
                            <w:tc>
                              <w:tcPr>
                                <w:tcW w:w="10260" w:type="dxa"/>
                                <w:tcBorders>
                                  <w:end w:val="single" w:sz="6" w:space="0" w:color="000000"/>
                                </w:tcBorders>
                              </w:tcPr>
                              <w:p>
                                <w:pPr>
                                  <w:pStyle w:val="Normal"/>
                                  <w:snapToGrid w:val="false"/>
                                  <w:spacing w:before="900" w:after="0"/>
                                  <w:jc w:val="center"/>
                                  <w:rPr>
                                    <w:b/>
                                    <w:bCs/>
                                    <w:smallCaps/>
                                  </w:rPr>
                                </w:pPr>
                                <w:r>
                                  <w:rPr>
                                    <w:b/>
                                    <w:bCs/>
                                    <w:smallCaps/>
                                  </w:rPr>
                                </w:r>
                              </w:p>
                            </w:tc>
                          </w:tr>
                          <w:tr>
                            <w:trPr>
                              <w:trHeight w:val="15000" w:hRule="exact"/>
                            </w:trPr>
                            <w:tc>
                              <w:tcPr>
                                <w:tcW w:w="540" w:type="dxa"/>
                                <w:tcBorders>
                                  <w:end w:val="double" w:sz="6" w:space="0" w:color="000000"/>
                                </w:tcBorders>
                              </w:tcPr>
                              <w:p>
                                <w:pPr>
                                  <w:pStyle w:val="HeaderNumbers"/>
                                  <w:snapToGrid w:val="false"/>
                                  <w:spacing w:before="700" w:after="0"/>
                                  <w:rPr>
                                    <w:b/>
                                    <w:bCs/>
                                    <w:smallCaps/>
                                  </w:rPr>
                                </w:pPr>
                                <w:r>
                                  <w:rPr>
                                    <w:b/>
                                    <w:bCs/>
                                    <w:smallCaps/>
                                  </w:rPr>
                                </w:r>
                              </w:p>
                            </w:tc>
                            <w:tc>
                              <w:tcPr>
                                <w:tcW w:w="10260" w:type="dxa"/>
                                <w:tcBorders>
                                  <w:end w:val="single" w:sz="6" w:space="0" w:color="000000"/>
                                </w:tcBorders>
                              </w:tcPr>
                              <w:p>
                                <w:pPr>
                                  <w:pStyle w:val="Normal"/>
                                  <w:snapToGrid w:val="false"/>
                                  <w:spacing w:before="900" w:after="0"/>
                                  <w:jc w:val="center"/>
                                  <w:rPr>
                                    <w:b/>
                                    <w:bCs/>
                                    <w:smallCaps/>
                                  </w:rPr>
                                </w:pPr>
                                <w:r>
                                  <w:rPr>
                                    <w:b/>
                                    <w:bCs/>
                                    <w:smallCaps/>
                                  </w:rPr>
                                </w:r>
                              </w:p>
                            </w:tc>
                          </w:tr>
                        </w:tbl>
                      </w:txbxContent>
                    </wps:txbx>
                    <wps:bodyPr anchor="t" lIns="0" tIns="0" rIns="0" bIns="0">
                      <a:noAutofit/>
                    </wps:bodyPr>
                  </wps:wsp>
                </a:graphicData>
              </a:graphic>
            </wp:anchor>
          </w:drawing>
        </mc:Choice>
        <mc:Fallback>
          <w:pict>
            <v:rect style="position:absolute;rotation:-0;width:540pt;height:1.15pt;mso-wrap-distance-left:0pt;mso-wrap-distance-right:0pt;mso-wrap-distance-top:0pt;mso-wrap-distance-bottom:0pt;margin-top:-14.4pt;mso-position-vertical:top;mso-position-vertical-relative:text;margin-left:-18.05pt;mso-position-horizontal:left;mso-position-horizontal-relative:text">
              <v:textbox inset="0in,0in,0in,0in">
                <w:txbxContent>
                  <w:tbl>
                    <w:tblPr>
                      <w:tblW w:w="10800" w:type="dxa"/>
                      <w:jc w:val="start"/>
                      <w:tblInd w:w="-720" w:type="dxa"/>
                      <w:tblLayout w:type="fixed"/>
                      <w:tblCellMar>
                        <w:top w:w="0" w:type="dxa"/>
                        <w:start w:w="0" w:type="dxa"/>
                        <w:bottom w:w="0" w:type="dxa"/>
                        <w:end w:w="0" w:type="dxa"/>
                      </w:tblCellMar>
                    </w:tblPr>
                    <w:tblGrid>
                      <w:gridCol w:w="540"/>
                      <w:gridCol w:w="10260"/>
                    </w:tblGrid>
                    <w:tr>
                      <w:trPr>
                        <w:trHeight w:val="15000" w:hRule="exact"/>
                      </w:trPr>
                      <w:tc>
                        <w:tcPr>
                          <w:tcW w:w="54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60" w:type="dxa"/>
                          <w:tcBorders>
                            <w:end w:val="single" w:sz="6" w:space="0" w:color="000000"/>
                          </w:tcBorders>
                        </w:tcPr>
                        <w:p>
                          <w:pPr>
                            <w:pStyle w:val="Normal"/>
                            <w:spacing w:before="900" w:after="0"/>
                            <w:jc w:val="center"/>
                            <w:rPr>
                              <w:b/>
                              <w:bCs/>
                              <w:smallCaps/>
                            </w:rPr>
                          </w:pPr>
                          <w:r>
                            <w:rPr>
                              <w:b/>
                              <w:bCs/>
                              <w:smallCaps/>
                            </w:rPr>
                            <w:t>Table of Contents</w:t>
                          </w:r>
                        </w:p>
                        <w:p>
                          <w:pPr>
                            <w:pStyle w:val="Normal"/>
                            <w:rPr>
                              <w:b/>
                              <w:bCs/>
                              <w:smallCaps/>
                            </w:rPr>
                          </w:pPr>
                          <w:r>
                            <w:rPr>
                              <w:b/>
                              <w:bCs/>
                              <w:smallCaps/>
                            </w:rPr>
                          </w:r>
                        </w:p>
                        <w:p>
                          <w:pPr>
                            <w:pStyle w:val="Normal"/>
                            <w:jc w:val="end"/>
                            <w:rPr/>
                          </w:pPr>
                          <w:r>
                            <w:rPr/>
                          </w:r>
                        </w:p>
                        <w:p>
                          <w:pPr>
                            <w:pStyle w:val="Normal"/>
                            <w:jc w:val="end"/>
                            <w:rPr/>
                          </w:pPr>
                          <w:r>
                            <w:rPr/>
                          </w:r>
                        </w:p>
                      </w:tc>
                    </w:tr>
                    <w:tr>
                      <w:trPr>
                        <w:trHeight w:val="15000" w:hRule="exact"/>
                      </w:trPr>
                      <w:tc>
                        <w:tcPr>
                          <w:tcW w:w="540" w:type="dxa"/>
                          <w:tcBorders>
                            <w:end w:val="double" w:sz="6" w:space="0" w:color="000000"/>
                          </w:tcBorders>
                        </w:tcPr>
                        <w:p>
                          <w:pPr>
                            <w:pStyle w:val="HeaderNumbers"/>
                            <w:snapToGrid w:val="false"/>
                            <w:spacing w:before="700" w:after="0"/>
                            <w:rPr/>
                          </w:pPr>
                          <w:r>
                            <w:rPr/>
                          </w:r>
                        </w:p>
                      </w:tc>
                      <w:tc>
                        <w:tcPr>
                          <w:tcW w:w="10260" w:type="dxa"/>
                          <w:tcBorders>
                            <w:end w:val="single" w:sz="6" w:space="0" w:color="000000"/>
                          </w:tcBorders>
                        </w:tcPr>
                        <w:p>
                          <w:pPr>
                            <w:pStyle w:val="Normal"/>
                            <w:snapToGrid w:val="false"/>
                            <w:spacing w:before="900" w:after="0"/>
                            <w:jc w:val="center"/>
                            <w:rPr>
                              <w:b/>
                              <w:bCs/>
                              <w:smallCaps/>
                            </w:rPr>
                          </w:pPr>
                          <w:r>
                            <w:rPr>
                              <w:b/>
                              <w:bCs/>
                              <w:smallCaps/>
                            </w:rPr>
                          </w:r>
                        </w:p>
                      </w:tc>
                    </w:tr>
                    <w:tr>
                      <w:trPr>
                        <w:trHeight w:val="15000" w:hRule="exact"/>
                      </w:trPr>
                      <w:tc>
                        <w:tcPr>
                          <w:tcW w:w="540" w:type="dxa"/>
                          <w:tcBorders>
                            <w:end w:val="double" w:sz="6" w:space="0" w:color="000000"/>
                          </w:tcBorders>
                        </w:tcPr>
                        <w:p>
                          <w:pPr>
                            <w:pStyle w:val="HeaderNumbers"/>
                            <w:snapToGrid w:val="false"/>
                            <w:spacing w:before="700" w:after="0"/>
                            <w:rPr>
                              <w:b/>
                              <w:bCs/>
                              <w:smallCaps/>
                            </w:rPr>
                          </w:pPr>
                          <w:r>
                            <w:rPr>
                              <w:b/>
                              <w:bCs/>
                              <w:smallCaps/>
                            </w:rPr>
                          </w:r>
                        </w:p>
                      </w:tc>
                      <w:tc>
                        <w:tcPr>
                          <w:tcW w:w="10260" w:type="dxa"/>
                          <w:tcBorders>
                            <w:end w:val="single" w:sz="6" w:space="0" w:color="000000"/>
                          </w:tcBorders>
                        </w:tcPr>
                        <w:p>
                          <w:pPr>
                            <w:pStyle w:val="Normal"/>
                            <w:snapToGrid w:val="false"/>
                            <w:spacing w:before="900" w:after="0"/>
                            <w:jc w:val="center"/>
                            <w:rPr>
                              <w:b/>
                              <w:bCs/>
                              <w:smallCaps/>
                            </w:rPr>
                          </w:pPr>
                          <w:r>
                            <w:rPr>
                              <w:b/>
                              <w:bCs/>
                              <w:smallCaps/>
                            </w:rPr>
                          </w:r>
                        </w:p>
                      </w:tc>
                    </w:tr>
                  </w:tbl>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3">
              <wp:simplePos x="0" y="0"/>
              <wp:positionH relativeFrom="column">
                <wp:align>left</wp:align>
              </wp:positionH>
              <wp:positionV relativeFrom="line">
                <wp:posOffset>635</wp:posOffset>
              </wp:positionV>
              <wp:extent cx="6826250" cy="9525000"/>
              <wp:effectExtent l="0" t="0" r="0" b="0"/>
              <wp:wrapNone/>
              <wp:docPr id="5" name="Frame5"/>
              <a:graphic xmlns:a="http://schemas.openxmlformats.org/drawingml/2006/main">
                <a:graphicData uri="http://schemas.microsoft.com/office/word/2010/wordprocessingShape">
                  <wps:wsp>
                    <wps:cNvSpPr txBox="1"/>
                    <wps:spPr>
                      <a:xfrm>
                        <a:off x="0" y="0"/>
                        <a:ext cx="6826250" cy="9525000"/>
                      </a:xfrm>
                      <a:prstGeom prst="rect"/>
                      <a:solidFill>
                        <a:srgbClr val="FFFFFF"/>
                      </a:solidFill>
                    </wps:spPr>
                    <wps:txbx>
                      <w:txbxContent>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Normal"/>
                                  <w:snapToGrid w:val="false"/>
                                  <w:rPr/>
                                </w:pPr>
                                <w:r>
                                  <w:rPr/>
                                </w:r>
                              </w:p>
                            </w:tc>
                          </w:tr>
                        </w:tbl>
                      </w:txbxContent>
                    </wps:txbx>
                    <wps:bodyPr anchor="t" lIns="0" tIns="0" rIns="0" bIns="0">
                      <a:noAutofit/>
                    </wps:bodyPr>
                  </wps:wsp>
                </a:graphicData>
              </a:graphic>
            </wp:anchor>
          </w:drawing>
        </mc:Choice>
        <mc:Fallback>
          <w:pict>
            <v:rect style="position:absolute;rotation:-0;width:537.5pt;height:750pt;mso-wrap-distance-left:0pt;mso-wrap-distance-right:0pt;mso-wrap-distance-top:0pt;mso-wrap-distance-bottom:0pt;margin-top:0pt;mso-position-vertical:top;mso-position-vertical-relative:text;margin-left:0pt;mso-position-horizontal:left;mso-position-horizontal-relative:text">
              <v:textbox inset="0in,0in,0in,0in">
                <w:txbxContent>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Normal"/>
                            <w:snapToGrid w:val="false"/>
                            <w:rPr/>
                          </w:pPr>
                          <w:r>
                            <w:rPr/>
                          </w:r>
                        </w:p>
                      </w:tc>
                    </w:tr>
                  </w:tbl>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4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BodyText"/>
    <w:qFormat/>
    <w:pPr>
      <w:keepNext w:val="true"/>
      <w:keepLines/>
      <w:numPr>
        <w:ilvl w:val="0"/>
        <w:numId w:val="1"/>
      </w:numPr>
      <w:spacing w:before="240" w:after="0"/>
      <w:ind w:hanging="720" w:start="720" w:end="0"/>
      <w:outlineLvl w:val="0"/>
    </w:pPr>
    <w:rPr>
      <w:b/>
      <w:bCs/>
    </w:rPr>
  </w:style>
  <w:style w:type="paragraph" w:styleId="Heading2">
    <w:name w:val="heading 2"/>
    <w:basedOn w:val="Heading1"/>
    <w:next w:val="BodyText"/>
    <w:qFormat/>
    <w:pPr>
      <w:numPr>
        <w:ilvl w:val="1"/>
        <w:numId w:val="1"/>
      </w:numPr>
      <w:ind w:hanging="720" w:start="1440" w:end="1440"/>
      <w:outlineLvl w:val="1"/>
    </w:pPr>
    <w:rPr/>
  </w:style>
  <w:style w:type="paragraph" w:styleId="Heading3">
    <w:name w:val="heading 3"/>
    <w:basedOn w:val="Heading2"/>
    <w:next w:val="BodyText"/>
    <w:qFormat/>
    <w:pPr>
      <w:numPr>
        <w:ilvl w:val="2"/>
        <w:numId w:val="1"/>
      </w:numPr>
      <w:ind w:hanging="720" w:start="2160" w:end="1440"/>
      <w:outlineLvl w:val="2"/>
    </w:pPr>
    <w:rPr/>
  </w:style>
  <w:style w:type="paragraph" w:styleId="Heading4">
    <w:name w:val="heading 4"/>
    <w:basedOn w:val="Heading3"/>
    <w:next w:val="BodyText"/>
    <w:qFormat/>
    <w:pPr>
      <w:numPr>
        <w:ilvl w:val="3"/>
        <w:numId w:val="1"/>
      </w:numPr>
      <w:ind w:hanging="720" w:start="2880" w:end="1440"/>
      <w:outlineLvl w:val="3"/>
    </w:pPr>
    <w:rPr/>
  </w:style>
  <w:style w:type="paragraph" w:styleId="Heading5">
    <w:name w:val="heading 5"/>
    <w:basedOn w:val="Heading4"/>
    <w:next w:val="BodyText"/>
    <w:qFormat/>
    <w:pPr>
      <w:numPr>
        <w:ilvl w:val="4"/>
        <w:numId w:val="1"/>
      </w:numPr>
      <w:ind w:hanging="720" w:start="3600" w:end="1440"/>
      <w:outlineLvl w:val="4"/>
    </w:pPr>
    <w:rPr/>
  </w:style>
  <w:style w:type="paragraph" w:styleId="Heading6">
    <w:name w:val="heading 6"/>
    <w:basedOn w:val="Heading5"/>
    <w:next w:val="BodyText"/>
    <w:qFormat/>
    <w:pPr>
      <w:numPr>
        <w:ilvl w:val="5"/>
        <w:numId w:val="1"/>
      </w:numPr>
      <w:ind w:hanging="720" w:start="4320" w:end="1440"/>
      <w:outlineLvl w:val="5"/>
    </w:pPr>
    <w:rPr>
      <w:b w:val="false"/>
      <w:bCs w:val="false"/>
    </w:rPr>
  </w:style>
  <w:style w:type="paragraph" w:styleId="Heading7">
    <w:name w:val="heading 7"/>
    <w:basedOn w:val="Heading6"/>
    <w:next w:val="BodyText"/>
    <w:qFormat/>
    <w:pPr>
      <w:numPr>
        <w:ilvl w:val="6"/>
        <w:numId w:val="1"/>
      </w:numPr>
      <w:ind w:hanging="720" w:start="5040" w:end="1440"/>
      <w:outlineLvl w:val="6"/>
    </w:pPr>
    <w:rPr/>
  </w:style>
  <w:style w:type="paragraph" w:styleId="Heading8">
    <w:name w:val="heading 8"/>
    <w:basedOn w:val="Heading7"/>
    <w:next w:val="BodyText"/>
    <w:qFormat/>
    <w:pPr>
      <w:numPr>
        <w:ilvl w:val="7"/>
        <w:numId w:val="1"/>
      </w:numPr>
      <w:ind w:hanging="720" w:start="5760" w:end="1440"/>
      <w:outlineLvl w:val="7"/>
    </w:pPr>
    <w:rPr/>
  </w:style>
  <w:style w:type="paragraph" w:styleId="Heading9">
    <w:name w:val="heading 9"/>
    <w:basedOn w:val="Heading8"/>
    <w:next w:val="BodyText"/>
    <w:qFormat/>
    <w:pPr>
      <w:numPr>
        <w:ilvl w:val="8"/>
        <w:numId w:val="1"/>
      </w:numPr>
      <w:tabs>
        <w:tab w:val="clear" w:pos="720"/>
        <w:tab w:val="left" w:pos="360" w:leader="none"/>
      </w:tabs>
      <w:ind w:hanging="720" w:start="6480" w:end="1440"/>
      <w:outlineLvl w:val="8"/>
    </w:pPr>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eastAsia="Times New Roman" w:cs="Times New Roman"/>
      <w:color w:val="auto"/>
      <w:spacing w:val="0"/>
      <w:kern w:val="0"/>
      <w:sz w:val="24"/>
      <w:szCs w:val="24"/>
      <w:u w:val="none"/>
      <w:vertAlign w:val="superscript"/>
      <w:lang w:val="en-US"/>
    </w:rPr>
  </w:style>
  <w:style w:type="character" w:styleId="PageNumber">
    <w:name w:val="page number"/>
    <w:basedOn w:val="DefaultParagraphFont"/>
    <w:rPr>
      <w:rFonts w:ascii="Courier New" w:hAnsi="Courier New" w:eastAsia="Courier New" w:cs="Courier New"/>
      <w:color w:val="auto"/>
      <w:spacing w:val="0"/>
      <w:kern w:val="0"/>
      <w:position w:val="0"/>
      <w:sz w:val="24"/>
      <w:sz w:val="24"/>
      <w:szCs w:val="24"/>
      <w:u w:val="none"/>
      <w:vertAlign w:val="baseline"/>
      <w:lang w:val="en-US"/>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240" w:after="240"/>
      <w:ind w:hanging="0" w:start="720" w:end="720"/>
      <w:jc w:val="center"/>
    </w:pPr>
    <w:rPr>
      <w:b/>
      <w:bCs/>
      <w:kern w:val="2"/>
    </w:rPr>
  </w:style>
  <w:style w:type="paragraph" w:styleId="BodyText">
    <w:name w:val="Body Text"/>
    <w:basedOn w:val="Normal"/>
    <w:pPr>
      <w:spacing w:lineRule="exact" w:line="48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tabs>
        <w:tab w:val="clear" w:pos="720"/>
        <w:tab w:val="left" w:pos="475"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bidi w:val="0"/>
    </w:pPr>
    <w:rPr>
      <w:rFonts w:ascii="Times New Roman" w:hAnsi="Times New Roman" w:eastAsia="Times New Roman" w:cs="Times New Roman"/>
      <w:color w:val="auto"/>
      <w:sz w:val="20"/>
      <w:szCs w:val="20"/>
      <w:lang w:val="en-US" w:eastAsia="zh-CN" w:bidi="hi-IN"/>
    </w:rPr>
  </w:style>
  <w:style w:type="paragraph" w:styleId="BodyText2">
    <w:name w:val="Body Text 2"/>
    <w:basedOn w:val="Normal"/>
    <w:next w:val="BodyText"/>
    <w:qFormat/>
    <w:pPr>
      <w:ind w:hanging="0" w:start="360" w:end="0"/>
    </w:pPr>
    <w:rPr>
      <w:rFonts w:ascii="Courier New" w:hAnsi="Courier New" w:eastAsia="Courier New" w:cs="Courier New"/>
    </w:rPr>
  </w:style>
  <w:style w:type="paragraph" w:styleId="Centered">
    <w:name w:val="Centered"/>
    <w:basedOn w:val="Normal"/>
    <w:next w:val="BodyText"/>
    <w:qFormat/>
    <w:pPr>
      <w:spacing w:before="0" w:after="240"/>
      <w:jc w:val="center"/>
    </w:pPr>
    <w:rPr>
      <w:rFonts w:ascii="Courier New" w:hAnsi="Courier New" w:eastAsia="Courier New" w:cs="Courier New"/>
    </w:rPr>
  </w:style>
  <w:style w:type="paragraph" w:styleId="Disclaimer">
    <w:name w:val="Disclaimer"/>
    <w:basedOn w:val="Normal"/>
    <w:qFormat/>
    <w:pPr>
      <w:jc w:val="both"/>
    </w:pPr>
    <w:rPr>
      <w:rFonts w:ascii="Arial" w:hAnsi="Arial" w:eastAsia="Arial" w:cs="Arial"/>
      <w:sz w:val="16"/>
      <w:szCs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9821" w:leader="none"/>
      </w:tabs>
    </w:pPr>
    <w:rPr/>
  </w:style>
  <w:style w:type="paragraph" w:styleId="FootnoteText">
    <w:name w:val="footnote text"/>
    <w:basedOn w:val="Normal"/>
    <w:pPr>
      <w:tabs>
        <w:tab w:val="clear" w:pos="720"/>
        <w:tab w:val="left" w:pos="432" w:leader="none"/>
      </w:tabs>
      <w:spacing w:before="0" w:after="120"/>
      <w:ind w:hanging="432" w:start="432" w:end="0"/>
    </w:pPr>
    <w:rPr>
      <w:sz w:val="20"/>
      <w:szCs w:val="20"/>
    </w:rPr>
  </w:style>
  <w:style w:type="paragraph" w:styleId="Header">
    <w:name w:val="header"/>
    <w:basedOn w:val="Normal"/>
    <w:pPr>
      <w:widowControl w:val="false"/>
      <w:tabs>
        <w:tab w:val="clear" w:pos="720"/>
        <w:tab w:val="center" w:pos="4320" w:leader="none"/>
        <w:tab w:val="right" w:pos="9821" w:leader="none"/>
      </w:tabs>
    </w:pPr>
    <w:rPr>
      <w:rFonts w:ascii="Courier New" w:hAnsi="Courier New" w:eastAsia="Courier New" w:cs="Courier New"/>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rFonts w:ascii="Courier New" w:hAnsi="Courier New" w:eastAsia="Courier New" w:cs="Courier New"/>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tabs>
        <w:tab w:val="clear" w:pos="720"/>
        <w:tab w:val="left" w:pos="4867" w:leader="none"/>
        <w:tab w:val="right" w:pos="9000" w:leader="none"/>
      </w:tabs>
      <w:ind w:hanging="4867" w:start="4867" w:end="0"/>
    </w:pPr>
    <w:rPr/>
  </w:style>
  <w:style w:type="paragraph" w:styleId="Quote-1inch">
    <w:name w:val="Quote - 1 inch"/>
    <w:basedOn w:val="Normal"/>
    <w:next w:val="Normal"/>
    <w:qFormat/>
    <w:pPr>
      <w:spacing w:before="240" w:after="0"/>
      <w:ind w:hanging="0" w:start="1440" w:end="1440"/>
    </w:pPr>
    <w:rPr/>
  </w:style>
  <w:style w:type="paragraph" w:styleId="Quote-5inch">
    <w:name w:val="Quote - .5 inch"/>
    <w:basedOn w:val="Normal"/>
    <w:next w:val="Normal"/>
    <w:qFormat/>
    <w:pPr>
      <w:spacing w:before="240" w:after="0"/>
      <w:ind w:hanging="0" w:start="720" w:end="720"/>
    </w:pPr>
    <w:rPr/>
  </w:style>
  <w:style w:type="paragraph" w:styleId="TableofAuthorities">
    <w:name w:val="Table of Authorities"/>
    <w:basedOn w:val="Normal"/>
    <w:next w:val="Normal"/>
    <w:qFormat/>
    <w:pPr>
      <w:tabs>
        <w:tab w:val="clear" w:pos="720"/>
        <w:tab w:val="right" w:pos="9806" w:leader="dot"/>
      </w:tabs>
      <w:spacing w:before="120" w:after="0"/>
      <w:ind w:hanging="0" w:start="720" w:end="720"/>
    </w:pPr>
    <w:rPr/>
  </w:style>
  <w:style w:type="paragraph" w:styleId="TOAHeading">
    <w:name w:val="TOA Heading"/>
    <w:basedOn w:val="Normal"/>
    <w:next w:val="TableofAuthorities"/>
    <w:qFormat/>
    <w:pPr>
      <w:keepNext w:val="true"/>
      <w:spacing w:before="120" w:after="0"/>
    </w:pPr>
    <w:rPr>
      <w:b/>
      <w:bCs/>
      <w:caps/>
    </w:rPr>
  </w:style>
  <w:style w:type="paragraph" w:styleId="TOC1">
    <w:name w:val="toc 1"/>
    <w:basedOn w:val="Normal"/>
    <w:pPr>
      <w:keepLines/>
      <w:tabs>
        <w:tab w:val="clear" w:pos="720"/>
        <w:tab w:val="right" w:pos="9835" w:leader="dot"/>
      </w:tabs>
      <w:spacing w:before="120" w:after="120"/>
      <w:ind w:hanging="806" w:start="806" w:end="1440"/>
    </w:pPr>
    <w:rPr>
      <w:caps/>
    </w:rPr>
  </w:style>
  <w:style w:type="paragraph" w:styleId="TOC2">
    <w:name w:val="toc 2"/>
    <w:basedOn w:val="Normal"/>
    <w:pPr>
      <w:tabs>
        <w:tab w:val="clear" w:pos="720"/>
        <w:tab w:val="right" w:pos="9835" w:leader="dot"/>
      </w:tabs>
      <w:spacing w:before="120" w:after="0"/>
      <w:ind w:hanging="634" w:start="1440" w:end="1440"/>
    </w:pPr>
    <w:rPr/>
  </w:style>
  <w:style w:type="paragraph" w:styleId="TOC3">
    <w:name w:val="toc 3"/>
    <w:basedOn w:val="Normal"/>
    <w:pPr>
      <w:keepLines/>
      <w:tabs>
        <w:tab w:val="clear" w:pos="720"/>
        <w:tab w:val="right" w:pos="9835" w:leader="dot"/>
      </w:tabs>
      <w:spacing w:before="120" w:after="0"/>
      <w:ind w:hanging="720" w:start="2160" w:end="1440"/>
    </w:pPr>
    <w:rPr/>
  </w:style>
  <w:style w:type="paragraph" w:styleId="TOC4">
    <w:name w:val="toc 4"/>
    <w:basedOn w:val="Normal"/>
    <w:pPr>
      <w:keepLines/>
      <w:tabs>
        <w:tab w:val="clear" w:pos="720"/>
        <w:tab w:val="right" w:pos="9835" w:leader="dot"/>
      </w:tabs>
      <w:spacing w:before="120" w:after="0"/>
      <w:ind w:hanging="720" w:start="2880" w:end="1440"/>
    </w:pPr>
    <w:rPr/>
  </w:style>
  <w:style w:type="paragraph" w:styleId="TOC5">
    <w:name w:val="toc 5"/>
    <w:basedOn w:val="Normal"/>
    <w:pPr>
      <w:keepLines/>
      <w:tabs>
        <w:tab w:val="clear" w:pos="720"/>
        <w:tab w:val="right" w:pos="9835" w:leader="dot"/>
      </w:tabs>
      <w:spacing w:before="120" w:after="0"/>
      <w:ind w:hanging="720" w:start="3600" w:end="1440"/>
    </w:pPr>
    <w:rPr/>
  </w:style>
  <w:style w:type="paragraph" w:styleId="TOC6">
    <w:name w:val="toc 6"/>
    <w:basedOn w:val="Normal"/>
    <w:pPr>
      <w:keepLines/>
      <w:tabs>
        <w:tab w:val="clear" w:pos="720"/>
        <w:tab w:val="right" w:pos="9835" w:leader="dot"/>
      </w:tabs>
      <w:spacing w:before="120" w:after="0"/>
      <w:ind w:hanging="720" w:start="4320" w:end="1440"/>
    </w:pPr>
    <w:rPr/>
  </w:style>
  <w:style w:type="paragraph" w:styleId="TOC7">
    <w:name w:val="toc 7"/>
    <w:basedOn w:val="Normal"/>
    <w:pPr>
      <w:keepLines/>
      <w:tabs>
        <w:tab w:val="clear" w:pos="720"/>
        <w:tab w:val="right" w:pos="9835" w:leader="dot"/>
      </w:tabs>
      <w:spacing w:before="120" w:after="0"/>
      <w:ind w:hanging="806" w:start="5126" w:end="1440"/>
    </w:pPr>
    <w:rPr/>
  </w:style>
  <w:style w:type="paragraph" w:styleId="TOC8">
    <w:name w:val="toc 8"/>
    <w:basedOn w:val="Normal"/>
    <w:pPr>
      <w:keepLines/>
      <w:tabs>
        <w:tab w:val="clear" w:pos="720"/>
        <w:tab w:val="right" w:pos="9835" w:leader="dot"/>
      </w:tabs>
      <w:spacing w:before="120" w:after="0"/>
      <w:ind w:hanging="634" w:start="5760" w:end="1440"/>
    </w:pPr>
    <w:rPr/>
  </w:style>
  <w:style w:type="paragraph" w:styleId="TOC9">
    <w:name w:val="toc 9"/>
    <w:basedOn w:val="Normal"/>
    <w:pPr>
      <w:keepLines/>
      <w:tabs>
        <w:tab w:val="clear" w:pos="720"/>
        <w:tab w:val="right" w:pos="9835" w:leader="dot"/>
      </w:tabs>
      <w:spacing w:before="120" w:after="0"/>
      <w:ind w:hanging="720" w:start="6480" w:end="1440"/>
    </w:pPr>
    <w:rPr/>
  </w:style>
  <w:style w:type="paragraph" w:styleId="EnvelopeAddress">
    <w:name w:val="envelope address"/>
    <w:basedOn w:val="Normal"/>
    <w:pPr>
      <w:ind w:hanging="0" w:start="2880" w:end="0"/>
    </w:pPr>
    <w:rPr>
      <w:rFonts w:ascii="Courier New" w:hAnsi="Courier New" w:eastAsia="Courier New" w:cs="Courier New"/>
    </w:rPr>
  </w:style>
  <w:style w:type="paragraph" w:styleId="HeaderNumbersOld">
    <w:name w:val="HeaderNumbersOld"/>
    <w:basedOn w:val="Normal"/>
    <w:qFormat/>
    <w:pPr>
      <w:spacing w:lineRule="exact" w:line="480" w:before="720" w:after="0"/>
      <w:ind w:hanging="0" w:start="0" w:end="144"/>
      <w:jc w:val="end"/>
    </w:pPr>
    <w:rPr/>
  </w:style>
  <w:style w:type="paragraph" w:styleId="Quote">
    <w:name w:val="Quote"/>
    <w:basedOn w:val="Normal"/>
    <w:next w:val="Normal"/>
    <w:qFormat/>
    <w:pPr>
      <w:spacing w:before="240" w:after="0"/>
      <w:ind w:hanging="0" w:start="1440" w:end="1440"/>
    </w:pPr>
    <w:rPr/>
  </w:style>
  <w:style w:type="paragraph" w:styleId="SDP">
    <w:name w:val="SDP"/>
    <w:basedOn w:val="Normal"/>
    <w:qFormat/>
    <w:pPr>
      <w:spacing w:lineRule="auto" w:line="240"/>
      <w:jc w:val="center"/>
    </w:pPr>
    <w:rPr/>
  </w:style>
  <w:style w:type="paragraph" w:styleId="LineNumbers">
    <w:name w:val="LineNumbers"/>
    <w:basedOn w:val="Normal"/>
    <w:qFormat/>
    <w:pPr>
      <w:spacing w:lineRule="auto" w:line="240"/>
      <w:jc w:val="end"/>
    </w:pPr>
    <w:rPr>
      <w:sz w:val="18"/>
      <w:szCs w:val="18"/>
    </w:rPr>
  </w:style>
  <w:style w:type="paragraph" w:styleId="SingleSpacing">
    <w:name w:val="Single Spacing"/>
    <w:basedOn w:val="Normal"/>
    <w:qFormat/>
    <w:pPr>
      <w:spacing w:lineRule="exact" w:line="249"/>
    </w:pPr>
    <w:rPr/>
  </w:style>
  <w:style w:type="paragraph" w:styleId="Address">
    <w:name w:val="Address"/>
    <w:basedOn w:val="SingleSpacing"/>
    <w:qFormat/>
    <w:pPr/>
    <w:rPr/>
  </w:style>
  <w:style w:type="paragraph" w:styleId="DoubleSpacing">
    <w:name w:val="Double Spacing"/>
    <w:basedOn w:val="Normal"/>
    <w:qFormat/>
    <w:pPr>
      <w:spacing w:lineRule="auto" w:line="240"/>
    </w:pPr>
    <w:rPr>
      <w:sz w:val="18"/>
      <w:szCs w:val="18"/>
    </w:rPr>
  </w:style>
  <w:style w:type="paragraph" w:styleId="CourtName">
    <w:name w:val="CourtName"/>
    <w:basedOn w:val="Normal"/>
    <w:qFormat/>
    <w:pPr>
      <w:spacing w:lineRule="auto" w:line="240"/>
      <w:jc w:val="center"/>
    </w:pPr>
    <w:rPr/>
  </w:style>
  <w:style w:type="paragraph" w:styleId="indentsingle">
    <w:name w:val="indent single"/>
    <w:basedOn w:val="Heading3"/>
    <w:qFormat/>
    <w:pPr>
      <w:numPr>
        <w:ilvl w:val="0"/>
        <w:numId w:val="0"/>
      </w:numPr>
      <w:tabs>
        <w:tab w:val="clear" w:pos="720"/>
        <w:tab w:val="left" w:pos="360" w:leader="none"/>
      </w:tabs>
      <w:spacing w:lineRule="exact" w:line="249" w:before="249" w:after="249"/>
      <w:ind w:hanging="720" w:start="1440" w:end="1440"/>
      <w:outlineLvl w:val="9"/>
    </w:pPr>
    <w:rPr>
      <w:b w:val="false"/>
      <w:bCs w:val="false"/>
    </w:rPr>
  </w:style>
  <w:style w:type="paragraph" w:styleId="normalpara">
    <w:name w:val="normal para"/>
    <w:basedOn w:val="Normal"/>
    <w:qFormat/>
    <w:pPr>
      <w:spacing w:lineRule="auto" w:line="480"/>
      <w:ind w:firstLine="1440" w:start="0" w:end="0"/>
    </w:pPr>
    <w:rPr>
      <w:sz w:val="25"/>
      <w:szCs w:val="25"/>
    </w:rPr>
  </w:style>
  <w:style w:type="paragraph" w:styleId="QA">
    <w:name w:val="QA"/>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spacing w:lineRule="exact" w:line="480"/>
      <w:ind w:hanging="720" w:start="720" w:end="0"/>
    </w:pPr>
    <w:rPr/>
  </w:style>
  <w:style w:type="paragraph" w:styleId="QA-text">
    <w:name w:val="QA - text"/>
    <w:basedOn w:val="QA"/>
    <w:qFormat/>
    <w:pPr>
      <w:ind w:firstLine="720" w:start="720" w:end="0"/>
    </w:pPr>
    <w:rPr/>
  </w:style>
  <w:style w:type="paragraph" w:styleId="indentquote">
    <w:name w:val="indent quote"/>
    <w:basedOn w:val="NormalIndent"/>
    <w:qFormat/>
    <w:pPr>
      <w:spacing w:lineRule="exact" w:line="249"/>
      <w:ind w:hanging="0" w:start="1440" w:end="1584"/>
    </w:pPr>
    <w:rPr/>
  </w:style>
  <w:style w:type="paragraph" w:styleId="testimonyheader">
    <w:name w:val="testimony header"/>
    <w:basedOn w:val="Normal"/>
    <w:next w:val="Heading1"/>
    <w:qFormat/>
    <w:pPr>
      <w:spacing w:lineRule="exact" w:line="480" w:before="0" w:after="480"/>
      <w:jc w:val="center"/>
    </w:pPr>
    <w:rPr>
      <w:caps/>
    </w:rPr>
  </w:style>
  <w:style w:type="paragraph" w:styleId="Footnote-Testimony">
    <w:name w:val="Footnote - Testimony"/>
    <w:basedOn w:val="Normal"/>
    <w:qFormat/>
    <w:pPr>
      <w:spacing w:lineRule="auto" w:line="240"/>
      <w:ind w:hanging="720" w:start="720" w:end="0"/>
    </w:pPr>
    <w:rPr>
      <w:sz w:val="20"/>
      <w:szCs w:val="20"/>
    </w:rPr>
  </w:style>
  <w:style w:type="paragraph" w:styleId="Normal-Testimony">
    <w:name w:val="Normal - Testimony"/>
    <w:basedOn w:val="testimonyheader"/>
    <w:qFormat/>
    <w:pPr>
      <w:spacing w:before="0" w:after="0"/>
      <w:ind w:firstLine="432" w:start="0" w:end="0"/>
      <w:jc w:val="start"/>
    </w:pPr>
    <w:rPr>
      <w:caps w:val="false"/>
      <w:smallCaps w:val="false"/>
    </w:rPr>
  </w:style>
  <w:style w:type="paragraph" w:styleId="bodytext2-unindent">
    <w:name w:val="body text 2 - unindent"/>
    <w:basedOn w:val="Normal"/>
    <w:qFormat/>
    <w:pPr>
      <w:tabs>
        <w:tab w:val="clear" w:pos="720"/>
        <w:tab w:val="left" w:pos="288" w:leader="none"/>
      </w:tabs>
      <w:spacing w:lineRule="exact" w:line="480"/>
      <w:ind w:hanging="0" w:start="864" w:end="0"/>
    </w:pPr>
    <w:rPr/>
  </w:style>
  <w:style w:type="paragraph" w:styleId="bodytext21">
    <w:name w:val="body text 21"/>
    <w:basedOn w:val="Normal"/>
    <w:qFormat/>
    <w:pPr>
      <w:tabs>
        <w:tab w:val="clear" w:pos="720"/>
        <w:tab w:val="left" w:pos="288" w:leader="none"/>
      </w:tabs>
      <w:spacing w:lineRule="exact" w:line="480"/>
      <w:ind w:firstLine="432" w:start="864" w:end="0"/>
    </w:pPr>
    <w:rPr/>
  </w:style>
  <w:style w:type="paragraph" w:styleId="bodytext3">
    <w:name w:val="body text 3"/>
    <w:basedOn w:val="Normal"/>
    <w:qFormat/>
    <w:pPr>
      <w:tabs>
        <w:tab w:val="clear" w:pos="720"/>
        <w:tab w:val="left" w:pos="288" w:leader="none"/>
      </w:tabs>
      <w:spacing w:lineRule="exact" w:line="480"/>
      <w:ind w:firstLine="432" w:start="1296"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footer" Target="footer9.xml"/><Relationship Id="rId20" Type="http://schemas.openxmlformats.org/officeDocument/2006/relationships/footer" Target="footer10.xml"/><Relationship Id="rId21" Type="http://schemas.openxmlformats.org/officeDocument/2006/relationships/footnotes" Target="footnote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2000-07-31T17:49:00Z</dcterms:created>
  <dc:creator>Stephanie Louie</dc:creator>
  <dc:description/>
  <dc:language>en-CA</dc:language>
  <cp:lastModifiedBy>Stephanie Louie</cp:lastModifiedBy>
  <cp:lastPrinted>2000-07-31T13:37:00Z</cp:lastPrinted>
  <dcterms:modified xsi:type="dcterms:W3CDTF">2000-07-31T18:07:00Z</dcterms:modified>
  <cp:revision>5</cp:revision>
  <dc:subject/>
  <dc:title>BEFORE THE</dc:title>
</cp:coreProperties>
</file>