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t>October 18, 2000</w:t>
      </w:r>
    </w:p>
    <w:p>
      <w:pPr>
        <w:pStyle w:val="Normal"/>
        <w:rPr>
          <w:sz w:val="22"/>
        </w:rPr>
      </w:pPr>
      <w:r>
        <w:rPr>
          <w:sz w:val="22"/>
        </w:rPr>
      </w:r>
    </w:p>
    <w:p>
      <w:pPr>
        <w:pStyle w:val="Normal"/>
        <w:rPr>
          <w:sz w:val="22"/>
        </w:rPr>
      </w:pPr>
      <w:r>
        <w:rPr>
          <w:sz w:val="22"/>
        </w:rPr>
        <w:t>Mr. Lynn Dekrey</w:t>
      </w:r>
    </w:p>
    <w:p>
      <w:pPr>
        <w:pStyle w:val="Normal"/>
        <w:rPr>
          <w:sz w:val="22"/>
        </w:rPr>
      </w:pPr>
      <w:r>
        <w:rPr>
          <w:sz w:val="22"/>
        </w:rPr>
        <w:t>Siemens Westinghouse Power Corporation</w:t>
      </w:r>
    </w:p>
    <w:p>
      <w:pPr>
        <w:pStyle w:val="Normal"/>
        <w:rPr>
          <w:sz w:val="22"/>
        </w:rPr>
      </w:pPr>
      <w:r>
        <w:rPr>
          <w:sz w:val="22"/>
        </w:rPr>
        <w:t>4400 Alafaya Trail</w:t>
      </w:r>
    </w:p>
    <w:p>
      <w:pPr>
        <w:pStyle w:val="Normal"/>
        <w:rPr>
          <w:sz w:val="22"/>
        </w:rPr>
      </w:pPr>
      <w:r>
        <w:rPr>
          <w:sz w:val="22"/>
        </w:rPr>
        <w:t>Orlando, FL  32826-2399</w:t>
      </w:r>
    </w:p>
    <w:p>
      <w:pPr>
        <w:pStyle w:val="Normal"/>
        <w:rPr>
          <w:sz w:val="22"/>
        </w:rPr>
      </w:pPr>
      <w:r>
        <w:rPr>
          <w:sz w:val="22"/>
        </w:rPr>
      </w:r>
    </w:p>
    <w:p>
      <w:pPr>
        <w:pStyle w:val="Normal"/>
        <w:rPr>
          <w:sz w:val="22"/>
        </w:rPr>
      </w:pPr>
      <w:r>
        <w:rPr>
          <w:sz w:val="22"/>
        </w:rPr>
        <w:t xml:space="preserve">References: </w:t>
      </w:r>
    </w:p>
    <w:p>
      <w:pPr>
        <w:pStyle w:val="Normal"/>
        <w:numPr>
          <w:ilvl w:val="0"/>
          <w:numId w:val="1"/>
        </w:numPr>
        <w:rPr>
          <w:sz w:val="22"/>
        </w:rPr>
      </w:pPr>
      <w:r>
        <w:rPr>
          <w:sz w:val="22"/>
        </w:rPr>
        <w:t>Siemens Westinghouse Letter SW/NCP-033 dated September 29, 2000 (“Letter”).</w:t>
      </w:r>
    </w:p>
    <w:p>
      <w:pPr>
        <w:pStyle w:val="Normal"/>
        <w:numPr>
          <w:ilvl w:val="0"/>
          <w:numId w:val="1"/>
        </w:numPr>
        <w:rPr>
          <w:sz w:val="22"/>
        </w:rPr>
      </w:pPr>
      <w:r>
        <w:rPr>
          <w:sz w:val="22"/>
        </w:rPr>
        <w:t>Contract Y2K (6) – 2 – 98 (“Contract”).</w:t>
      </w:r>
    </w:p>
    <w:p>
      <w:pPr>
        <w:pStyle w:val="Normal"/>
        <w:rPr>
          <w:sz w:val="22"/>
        </w:rPr>
      </w:pPr>
      <w:r>
        <w:rPr>
          <w:sz w:val="22"/>
        </w:rPr>
      </w:r>
    </w:p>
    <w:p>
      <w:pPr>
        <w:pStyle w:val="Normal"/>
        <w:rPr>
          <w:sz w:val="22"/>
        </w:rPr>
      </w:pPr>
      <w:r>
        <w:rPr>
          <w:sz w:val="22"/>
        </w:rPr>
        <w:t>Subject: Enron W501D5A Generator Replacement</w:t>
      </w:r>
    </w:p>
    <w:p>
      <w:pPr>
        <w:pStyle w:val="Normal"/>
        <w:rPr>
          <w:sz w:val="22"/>
        </w:rPr>
      </w:pPr>
      <w:r>
        <w:rPr>
          <w:sz w:val="22"/>
        </w:rPr>
      </w:r>
    </w:p>
    <w:p>
      <w:pPr>
        <w:pStyle w:val="Normal"/>
        <w:rPr>
          <w:sz w:val="22"/>
        </w:rPr>
      </w:pPr>
      <w:r>
        <w:rPr>
          <w:sz w:val="22"/>
        </w:rPr>
        <w:t>Dear Mr. Dekrey:</w:t>
      </w:r>
    </w:p>
    <w:p>
      <w:pPr>
        <w:pStyle w:val="Normal"/>
        <w:rPr>
          <w:sz w:val="22"/>
        </w:rPr>
      </w:pPr>
      <w:r>
        <w:rPr>
          <w:sz w:val="22"/>
        </w:rPr>
      </w:r>
    </w:p>
    <w:p>
      <w:pPr>
        <w:pStyle w:val="Normal"/>
        <w:rPr>
          <w:sz w:val="22"/>
        </w:rPr>
      </w:pPr>
      <w:r>
        <w:rPr>
          <w:sz w:val="22"/>
        </w:rPr>
        <w:t>Enron Equipment Procurement Company (EEPC) is in receipt of the Letter and wishes to address the following items:</w:t>
      </w:r>
    </w:p>
    <w:p>
      <w:pPr>
        <w:pStyle w:val="Normal"/>
        <w:numPr>
          <w:ilvl w:val="0"/>
          <w:numId w:val="2"/>
        </w:numPr>
        <w:rPr>
          <w:sz w:val="22"/>
        </w:rPr>
      </w:pPr>
      <w:r>
        <w:rPr>
          <w:sz w:val="22"/>
        </w:rPr>
        <w:t>EEPC understands from the Letter that Siemens Westinghouse intends to replace the damaged generator with a Siemens model TLRI 100/30-36 generator (“Replacement Generator”).  At this time, EEPC is unable to confirm that the Replacement Generator meets the technical requirements of the Contract.  Since it is Siemens Westinghouse’s responsibility to replace the damaged generator with a generator that complies with the Contract, EEPC requires that Siemens Westinghouse provide the necessary technical documentation to EEPC to confirm that the Replacement Generator meets the technical requirements of the Contract.</w:t>
      </w:r>
    </w:p>
    <w:p>
      <w:pPr>
        <w:pStyle w:val="Normal"/>
        <w:numPr>
          <w:ilvl w:val="0"/>
          <w:numId w:val="2"/>
        </w:numPr>
        <w:rPr>
          <w:sz w:val="22"/>
        </w:rPr>
      </w:pPr>
      <w:r>
        <w:rPr>
          <w:sz w:val="22"/>
        </w:rPr>
        <w:t>EEPC reserves all rights under the Contract including but not limited to rights with respect to imposing Document Liquidated Damages based on the final delivery of the revised technical documentation for the Replacement Generator.</w:t>
      </w:r>
    </w:p>
    <w:p>
      <w:pPr>
        <w:pStyle w:val="Normal"/>
        <w:numPr>
          <w:ilvl w:val="0"/>
          <w:numId w:val="2"/>
        </w:numPr>
        <w:rPr>
          <w:sz w:val="22"/>
        </w:rPr>
      </w:pPr>
      <w:r>
        <w:rPr>
          <w:sz w:val="22"/>
        </w:rPr>
        <w:t>EEPC requires that the Delivery Point remain Houston, Texas.</w:t>
      </w:r>
    </w:p>
    <w:p>
      <w:pPr>
        <w:pStyle w:val="Normal"/>
        <w:numPr>
          <w:ilvl w:val="0"/>
          <w:numId w:val="2"/>
        </w:numPr>
        <w:rPr>
          <w:sz w:val="22"/>
        </w:rPr>
      </w:pPr>
      <w:r>
        <w:rPr>
          <w:sz w:val="22"/>
        </w:rPr>
        <w:t>Since the Guaranteed Unit Delivery Date remains September 2, 2000 as previously agreed, EEPC expects Siemens Westinghouse to continue to use best efforts to expedite the delivery of the Replacement Generator.  It is requested that Siemens Westinghouse provide a written report weekly to update EEPC on the status of the delivery of the Replacement Generator.</w:t>
      </w:r>
    </w:p>
    <w:p>
      <w:pPr>
        <w:pStyle w:val="Normal"/>
        <w:numPr>
          <w:ilvl w:val="0"/>
          <w:numId w:val="2"/>
        </w:numPr>
        <w:rPr>
          <w:sz w:val="22"/>
        </w:rPr>
      </w:pPr>
      <w:r>
        <w:rPr>
          <w:sz w:val="22"/>
        </w:rPr>
        <w:t>Siemens Westinghouse’s late delivery of this Unit has delayed and impeded Enron’s ability to utilize this Unit.  In fact, it is now impossible to utilize this Unit as planned in a Summer 2001 Peaker project.  Therefore, pursuant to Section 6.4 of the Contract, the attached invoice is submitted for the Delivery Liquidated Damages currently due and payable.</w:t>
      </w:r>
    </w:p>
    <w:p>
      <w:pPr>
        <w:pStyle w:val="Normal"/>
        <w:numPr>
          <w:ilvl w:val="0"/>
          <w:numId w:val="2"/>
        </w:numPr>
        <w:rPr>
          <w:sz w:val="22"/>
        </w:rPr>
      </w:pPr>
      <w:r>
        <w:rPr>
          <w:sz w:val="22"/>
        </w:rPr>
        <w:t>EEPC acknowledges that the payment of Milestone Payment # 17 was made in error because “Delivery to the Delivery Point” has not been achieved.  Therefore, immediate refund of such payment is requested.</w:t>
      </w:r>
    </w:p>
    <w:p>
      <w:pPr>
        <w:pStyle w:val="Normal"/>
        <w:rPr>
          <w:sz w:val="22"/>
        </w:rPr>
      </w:pPr>
      <w:r>
        <w:rPr>
          <w:sz w:val="22"/>
        </w:rPr>
      </w:r>
    </w:p>
    <w:p>
      <w:pPr>
        <w:pStyle w:val="Normal"/>
        <w:rPr>
          <w:sz w:val="22"/>
        </w:rPr>
      </w:pPr>
      <w:r>
        <w:rPr>
          <w:sz w:val="22"/>
        </w:rPr>
        <w:t>Please continue to keep us informed of your actions taken to address the above issues.</w:t>
      </w:r>
    </w:p>
    <w:p>
      <w:pPr>
        <w:pStyle w:val="Normal"/>
        <w:rPr>
          <w:sz w:val="22"/>
        </w:rPr>
      </w:pPr>
      <w:r>
        <w:rPr>
          <w:sz w:val="22"/>
        </w:rPr>
      </w:r>
    </w:p>
    <w:p>
      <w:pPr>
        <w:pStyle w:val="Normal"/>
        <w:rPr>
          <w:sz w:val="22"/>
        </w:rPr>
      </w:pPr>
      <w:r>
        <w:rPr>
          <w:sz w:val="22"/>
        </w:rPr>
        <w:t>Sincerely,</w:t>
      </w:r>
    </w:p>
    <w:p>
      <w:pPr>
        <w:pStyle w:val="Normal"/>
        <w:rPr>
          <w:sz w:val="22"/>
        </w:rPr>
      </w:pPr>
      <w:r>
        <w:rPr>
          <w:sz w:val="22"/>
        </w:rPr>
      </w:r>
    </w:p>
    <w:p>
      <w:pPr>
        <w:pStyle w:val="Normal"/>
        <w:rPr>
          <w:sz w:val="22"/>
        </w:rPr>
      </w:pPr>
      <w:r>
        <w:rPr>
          <w:sz w:val="22"/>
        </w:rPr>
      </w:r>
    </w:p>
    <w:p>
      <w:pPr>
        <w:pStyle w:val="Normal"/>
        <w:rPr>
          <w:sz w:val="22"/>
        </w:rPr>
      </w:pPr>
      <w:r>
        <w:rPr>
          <w:sz w:val="22"/>
        </w:rPr>
        <w:t>Dan Shultz</w:t>
      </w:r>
    </w:p>
    <w:p>
      <w:pPr>
        <w:pStyle w:val="Normal"/>
        <w:rPr>
          <w:sz w:val="22"/>
        </w:rPr>
      </w:pPr>
      <w:r>
        <w:rPr>
          <w:sz w:val="22"/>
        </w:rPr>
        <w:t>Manager of Projects</w:t>
      </w:r>
    </w:p>
    <w:p>
      <w:pPr>
        <w:pStyle w:val="Normal"/>
        <w:rPr>
          <w:sz w:val="22"/>
        </w:rPr>
      </w:pPr>
      <w:r>
        <w:rPr>
          <w:sz w:val="22"/>
        </w:rPr>
      </w:r>
    </w:p>
    <w:p>
      <w:pPr>
        <w:pStyle w:val="Normal"/>
        <w:rPr>
          <w:sz w:val="22"/>
        </w:rPr>
      </w:pPr>
      <w:r>
        <w:rPr>
          <w:sz w:val="22"/>
        </w:rPr>
        <w:t>Cc: Ben Jacoby</w:t>
      </w:r>
      <w:r>
        <w:br w:type="page"/>
      </w:r>
    </w:p>
    <w:p>
      <w:pPr>
        <w:pStyle w:val="Normal"/>
        <w:rPr>
          <w:sz w:val="22"/>
        </w:rPr>
      </w:pPr>
      <w:r>
        <w:rPr>
          <w:sz w:val="22"/>
        </w:rPr>
      </w:r>
    </w:p>
    <w:p>
      <w:pPr>
        <w:pStyle w:val="Normal"/>
        <w:rPr>
          <w:sz w:val="22"/>
        </w:rPr>
      </w:pPr>
      <w:r>
        <w:rPr>
          <w:sz w:val="22"/>
        </w:rPr>
        <w:t>Bcc:</w:t>
      </w:r>
    </w:p>
    <w:p>
      <w:pPr>
        <w:pStyle w:val="Normal"/>
        <w:rPr>
          <w:sz w:val="22"/>
        </w:rPr>
      </w:pPr>
      <w:r>
        <w:rPr>
          <w:sz w:val="22"/>
        </w:rPr>
        <w:t>Kay Mann</w:t>
      </w:r>
    </w:p>
    <w:p>
      <w:pPr>
        <w:pStyle w:val="Normal"/>
        <w:rPr>
          <w:sz w:val="22"/>
        </w:rPr>
      </w:pPr>
      <w:r>
        <w:rPr>
          <w:sz w:val="22"/>
        </w:rPr>
        <w:t>Larry Izzo</w:t>
      </w:r>
    </w:p>
    <w:p>
      <w:pPr>
        <w:pStyle w:val="Normal"/>
        <w:rPr>
          <w:sz w:val="22"/>
        </w:rPr>
      </w:pPr>
      <w:r>
        <w:rPr>
          <w:sz w:val="22"/>
        </w:rPr>
        <w:t>Keith Dodson</w:t>
      </w:r>
    </w:p>
    <w:p>
      <w:pPr>
        <w:pStyle w:val="Normal"/>
        <w:rPr>
          <w:sz w:val="22"/>
        </w:rPr>
      </w:pPr>
      <w:r>
        <w:rPr>
          <w:sz w:val="22"/>
        </w:rPr>
        <w:t>John Schwartzenburg</w:t>
      </w:r>
    </w:p>
    <w:p>
      <w:pPr>
        <w:pStyle w:val="Normal"/>
        <w:rPr>
          <w:sz w:val="22"/>
        </w:rPr>
      </w:pPr>
      <w:r>
        <w:rPr>
          <w:sz w:val="22"/>
        </w:rPr>
        <w:t>David Bargainer</w:t>
      </w:r>
    </w:p>
    <w:p>
      <w:pPr>
        <w:pStyle w:val="Normal"/>
        <w:rPr>
          <w:sz w:val="22"/>
        </w:rPr>
      </w:pPr>
      <w:r>
        <w:rPr>
          <w:sz w:val="22"/>
        </w:rPr>
        <w:t>Peter Nassab</w:t>
      </w:r>
    </w:p>
    <w:p>
      <w:pPr>
        <w:pStyle w:val="Normal"/>
        <w:rPr>
          <w:sz w:val="22"/>
        </w:rPr>
      </w:pPr>
      <w:r>
        <w:rPr>
          <w:sz w:val="22"/>
        </w:rPr>
        <w:t>Brian Barto</w:t>
      </w:r>
    </w:p>
    <w:p>
      <w:pPr>
        <w:pStyle w:val="Normal"/>
        <w:rPr>
          <w:sz w:val="22"/>
        </w:rPr>
      </w:pPr>
      <w:r>
        <w:rPr>
          <w:sz w:val="22"/>
        </w:rPr>
        <w:t>Scott Laidlaw</w:t>
      </w:r>
    </w:p>
    <w:sectPr>
      <w:type w:val="nextPage"/>
      <w:pgSz w:w="12240" w:h="15840"/>
      <w:pgMar w:left="864" w:right="864" w:gutter="0" w:header="0" w:top="1008" w:footer="0" w:bottom="100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lowerLetter"/>
      <w:lvlText w:val="%1)"/>
      <w:lvlJc w:val="start"/>
      <w:pPr>
        <w:tabs>
          <w:tab w:val="num" w:pos="360"/>
        </w:tabs>
        <w:ind w:start="360" w:hanging="360"/>
      </w:pPr>
    </w:lvl>
  </w:abstractNum>
  <w:abstractNum w:abstractNumId="2">
    <w:lvl w:ilvl="0">
      <w:start w:val="1"/>
      <w:numFmt w:val="lowerLetter"/>
      <w:lvlText w:val="%1)"/>
      <w:lvlJc w:val="start"/>
      <w:pPr>
        <w:tabs>
          <w:tab w:val="num" w:pos="360"/>
        </w:tabs>
        <w:ind w:start="360" w:hanging="360"/>
      </w:pPr>
    </w:lvl>
  </w:abstractNum>
  <w:abstractNum w:abstractNumId="3">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2000-10-18T19:57:00Z</dcterms:created>
  <dc:creator>Enron Technology</dc:creator>
  <dc:description/>
  <dc:language>en-CA</dc:language>
  <cp:lastModifiedBy>Enron Technology</cp:lastModifiedBy>
  <cp:lastPrinted>2000-10-18T18:05:00Z</cp:lastPrinted>
  <dcterms:modified xsi:type="dcterms:W3CDTF">2000-10-18T20:36:00Z</dcterms:modified>
  <cp:revision>9</cp:revision>
  <dc:subject/>
  <dc:title>October 13, 2000</dc:title>
</cp:coreProperties>
</file>