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_rels/footer1.xml.rels" ContentType="application/vnd.openxmlformats-package.relationship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rFonts w:ascii="Arial" w:hAnsi="Arial" w:cs="Arial"/>
        </w:rPr>
      </w:pPr>
      <w:r>
        <w:rPr>
          <w:rFonts w:cs="Arial" w:ascii="Arial" w:hAnsi="Arial"/>
        </w:rPr>
        <w:t>Proposal</w:t>
      </w:r>
    </w:p>
    <w:p>
      <w:pPr>
        <w:pStyle w:val="Heading1"/>
        <w:ind w:hanging="0" w:start="0"/>
        <w:rPr>
          <w:rFonts w:ascii="Arial" w:hAnsi="Arial" w:cs="Arial"/>
        </w:rPr>
      </w:pPr>
      <w:r>
        <w:rPr>
          <w:rFonts w:cs="Arial" w:ascii="Arial" w:hAnsi="Arial"/>
        </w:rPr>
        <w:t>To</w:t>
      </w:r>
    </w:p>
    <w:p>
      <w:pPr>
        <w:pStyle w:val="Heading1"/>
        <w:ind w:hanging="0" w:start="0"/>
        <w:rPr>
          <w:rFonts w:ascii="Helvetica" w:hAnsi="Helvetica" w:cs="Helvetica"/>
        </w:rPr>
      </w:pPr>
      <w:r>
        <w:rPr>
          <w:rFonts w:cs="Helvetica" w:ascii="Helvetica" w:hAnsi="Helvetica"/>
        </w:rPr>
        <w:t>Reliant Energy</w:t>
      </w:r>
    </w:p>
    <w:p>
      <w:pPr>
        <w:pStyle w:val="Heading1"/>
        <w:ind w:hanging="0" w:start="0"/>
        <w:rPr>
          <w:rFonts w:ascii="Arial" w:hAnsi="Arial" w:cs="Arial"/>
        </w:rPr>
      </w:pPr>
      <w:r>
        <w:rPr>
          <w:rFonts w:cs="Arial" w:ascii="Arial" w:hAnsi="Arial"/>
        </w:rPr>
        <w:t>By</w:t>
      </w:r>
    </w:p>
    <w:p>
      <w:pPr>
        <w:pStyle w:val="Heading1"/>
        <w:ind w:hanging="0" w:start="0"/>
        <w:rPr>
          <w:rFonts w:ascii="Arial" w:hAnsi="Arial" w:cs="Arial"/>
        </w:rPr>
      </w:pPr>
      <w:r>
        <w:rPr>
          <w:rFonts w:cs="Arial" w:ascii="Arial" w:hAnsi="Arial"/>
        </w:rPr>
        <w:t>Enron Power Marketing, Inc.</w:t>
      </w:r>
    </w:p>
    <w:p>
      <w:pPr>
        <w:pStyle w:val="Normal"/>
        <w:jc w:val="center"/>
        <w:rPr>
          <w:rFonts w:ascii="Arial" w:hAnsi="Arial" w:cs="Arial"/>
          <w:smallCaps/>
          <w:sz w:val="22"/>
        </w:rPr>
      </w:pPr>
      <w:r>
        <w:rPr>
          <w:rFonts w:cs="Arial" w:ascii="Arial" w:hAnsi="Arial"/>
          <w:sz w:val="22"/>
        </w:rPr>
        <w:t>December 5, 2000</w:t>
      </w:r>
    </w:p>
    <w:p>
      <w:pPr>
        <w:pStyle w:val="Normal"/>
        <w:rPr>
          <w:rFonts w:ascii="Arial" w:hAnsi="Arial" w:cs="Arial"/>
          <w:smallCaps/>
          <w:sz w:val="22"/>
        </w:rPr>
      </w:pPr>
      <w:r>
        <w:rPr>
          <w:rFonts w:cs="Arial" w:ascii="Arial" w:hAnsi="Arial"/>
          <w:smallCaps/>
          <w:sz w:val="22"/>
        </w:rPr>
      </w:r>
    </w:p>
    <w:p>
      <w:pPr>
        <w:pStyle w:val="Normal"/>
        <w:rPr>
          <w:rFonts w:ascii="Arial" w:hAnsi="Arial" w:cs="Arial"/>
          <w:sz w:val="22"/>
        </w:rPr>
      </w:pPr>
      <w:r>
        <w:rPr>
          <w:rFonts w:cs="Arial" w:ascii="Arial" w:hAnsi="Arial"/>
          <w:sz w:val="22"/>
        </w:rPr>
      </w:r>
    </w:p>
    <w:p>
      <w:pPr>
        <w:pStyle w:val="Normal"/>
        <w:rPr/>
      </w:pPr>
      <w:r>
        <w:rPr>
          <w:rFonts w:cs="Arial" w:ascii="Arial" w:hAnsi="Arial"/>
          <w:b/>
          <w:color w:val="000000"/>
          <w:sz w:val="22"/>
          <w:lang w:eastAsia="en-US"/>
        </w:rPr>
        <w:t>Seller:</w:t>
      </w:r>
      <w:r>
        <w:rPr>
          <w:rFonts w:cs="Arial" w:ascii="Arial" w:hAnsi="Arial"/>
          <w:color w:val="000000"/>
          <w:sz w:val="22"/>
          <w:lang w:eastAsia="en-US"/>
        </w:rPr>
        <w:tab/>
        <w:tab/>
        <w:tab/>
        <w:t>Reliant Energy (“Reliant”)</w:t>
      </w:r>
    </w:p>
    <w:p>
      <w:pPr>
        <w:pStyle w:val="Normal"/>
        <w:rPr>
          <w:rFonts w:ascii="Arial" w:hAnsi="Arial" w:cs="Arial"/>
          <w:color w:val="000000"/>
          <w:sz w:val="22"/>
          <w:lang w:eastAsia="en-US"/>
        </w:rPr>
      </w:pPr>
      <w:r>
        <w:rPr>
          <w:rFonts w:cs="Arial" w:ascii="Arial" w:hAnsi="Arial"/>
          <w:color w:val="000000"/>
          <w:sz w:val="22"/>
          <w:lang w:eastAsia="en-US"/>
        </w:rPr>
      </w:r>
    </w:p>
    <w:p>
      <w:pPr>
        <w:pStyle w:val="Normal"/>
        <w:rPr/>
      </w:pPr>
      <w:r>
        <w:rPr>
          <w:rFonts w:cs="Arial" w:ascii="Arial" w:hAnsi="Arial"/>
          <w:b/>
          <w:sz w:val="22"/>
        </w:rPr>
        <w:t>Buyer:</w:t>
        <w:tab/>
        <w:tab/>
      </w:r>
      <w:r>
        <w:rPr>
          <w:rFonts w:cs="Arial" w:ascii="Arial" w:hAnsi="Arial"/>
          <w:sz w:val="22"/>
        </w:rPr>
        <w:tab/>
        <w:t>Enron Power Marketing, Inc. (“EPMI”)</w:t>
      </w:r>
    </w:p>
    <w:p>
      <w:pPr>
        <w:pStyle w:val="Normal"/>
        <w:rPr>
          <w:rFonts w:ascii="Arial" w:hAnsi="Arial" w:cs="Arial"/>
          <w:b/>
          <w:sz w:val="22"/>
        </w:rPr>
      </w:pPr>
      <w:r>
        <w:rPr>
          <w:rFonts w:cs="Arial" w:ascii="Arial" w:hAnsi="Arial"/>
          <w:b/>
          <w:sz w:val="22"/>
        </w:rPr>
      </w:r>
    </w:p>
    <w:p>
      <w:pPr>
        <w:pStyle w:val="Normal"/>
        <w:ind w:hanging="2160" w:start="2160" w:end="0"/>
        <w:jc w:val="both"/>
        <w:rPr/>
      </w:pPr>
      <w:r>
        <w:rPr>
          <w:rFonts w:cs="Arial" w:ascii="Arial" w:hAnsi="Arial"/>
          <w:b/>
          <w:sz w:val="22"/>
        </w:rPr>
        <w:t>Description:</w:t>
        <w:tab/>
      </w:r>
      <w:r>
        <w:rPr>
          <w:rFonts w:cs="Arial" w:ascii="Arial" w:hAnsi="Arial"/>
          <w:sz w:val="22"/>
        </w:rPr>
        <w:t xml:space="preserve">Reliant would provide EPMI with Multiple Unit Contingent power from Reliant’s Florida Pool.  Reliant’s Florida Pool consists of the Indian River Plant and a 50 MW portion of the McIntosh Plant Unit 5.   </w:t>
      </w:r>
    </w:p>
    <w:p>
      <w:pPr>
        <w:pStyle w:val="Normal"/>
        <w:jc w:val="both"/>
        <w:rPr>
          <w:rFonts w:ascii="Arial" w:hAnsi="Arial" w:cs="Arial"/>
          <w:color w:val="000000"/>
          <w:sz w:val="22"/>
          <w:lang w:eastAsia="en-US"/>
        </w:rPr>
      </w:pPr>
      <w:r>
        <w:rPr>
          <w:rFonts w:cs="Arial" w:ascii="Arial" w:hAnsi="Arial"/>
          <w:color w:val="000000"/>
          <w:sz w:val="22"/>
          <w:lang w:eastAsia="en-US"/>
        </w:rPr>
      </w:r>
    </w:p>
    <w:p>
      <w:pPr>
        <w:pStyle w:val="Normal"/>
        <w:rPr/>
      </w:pPr>
      <w:r>
        <w:rPr>
          <w:rFonts w:cs="Arial" w:ascii="Arial" w:hAnsi="Arial"/>
          <w:b/>
          <w:color w:val="000000"/>
          <w:sz w:val="22"/>
          <w:lang w:eastAsia="en-US"/>
        </w:rPr>
        <w:t>Term:</w:t>
        <w:tab/>
        <w:tab/>
        <w:tab/>
      </w:r>
      <w:r>
        <w:rPr>
          <w:rFonts w:cs="Arial" w:ascii="Arial" w:hAnsi="Arial"/>
          <w:color w:val="000000"/>
          <w:sz w:val="22"/>
          <w:lang w:eastAsia="en-US"/>
        </w:rPr>
        <w:t>January1 through February 28, 2001</w:t>
      </w:r>
    </w:p>
    <w:p>
      <w:pPr>
        <w:pStyle w:val="Normal"/>
        <w:rPr>
          <w:rFonts w:ascii="Arial" w:hAnsi="Arial" w:cs="Arial"/>
          <w:b/>
          <w:color w:val="000000"/>
          <w:sz w:val="22"/>
          <w:lang w:eastAsia="en-US"/>
        </w:rPr>
      </w:pPr>
      <w:r>
        <w:rPr>
          <w:rFonts w:cs="Arial" w:ascii="Arial" w:hAnsi="Arial"/>
          <w:b/>
          <w:color w:val="000000"/>
          <w:sz w:val="22"/>
          <w:lang w:eastAsia="en-US"/>
        </w:rPr>
      </w:r>
    </w:p>
    <w:p>
      <w:pPr>
        <w:pStyle w:val="Normal"/>
        <w:rPr/>
      </w:pPr>
      <w:r>
        <w:rPr>
          <w:rFonts w:cs="Arial" w:ascii="Arial" w:hAnsi="Arial"/>
          <w:b/>
          <w:color w:val="000000"/>
          <w:sz w:val="22"/>
          <w:lang w:eastAsia="en-US"/>
        </w:rPr>
        <w:t>Quantity:</w:t>
      </w:r>
      <w:r>
        <w:rPr>
          <w:rFonts w:cs="Arial" w:ascii="Arial" w:hAnsi="Arial"/>
          <w:color w:val="000000"/>
          <w:sz w:val="22"/>
          <w:lang w:eastAsia="en-US"/>
        </w:rPr>
        <w:tab/>
        <w:tab/>
        <w:t>50 MW</w:t>
      </w:r>
    </w:p>
    <w:p>
      <w:pPr>
        <w:pStyle w:val="Normal"/>
        <w:rPr>
          <w:rFonts w:ascii="Arial" w:hAnsi="Arial" w:cs="Arial"/>
          <w:color w:val="000000"/>
          <w:sz w:val="22"/>
          <w:lang w:eastAsia="en-US"/>
        </w:rPr>
      </w:pPr>
      <w:r>
        <w:rPr>
          <w:rFonts w:cs="Arial" w:ascii="Arial" w:hAnsi="Arial"/>
          <w:color w:val="000000"/>
          <w:sz w:val="22"/>
          <w:lang w:eastAsia="en-US"/>
        </w:rPr>
      </w:r>
    </w:p>
    <w:p>
      <w:pPr>
        <w:pStyle w:val="Normal"/>
        <w:rPr/>
      </w:pPr>
      <w:r>
        <w:rPr>
          <w:rFonts w:cs="Arial" w:ascii="Arial" w:hAnsi="Arial"/>
          <w:b/>
          <w:sz w:val="22"/>
        </w:rPr>
        <w:t>Price:</w:t>
        <w:tab/>
        <w:tab/>
        <w:tab/>
      </w:r>
      <w:r>
        <w:rPr/>
        <w:t>Capacity Charge:</w:t>
        <w:tab/>
        <w:tab/>
        <w:t>$6.82/kw-month average</w:t>
      </w:r>
    </w:p>
    <w:tbl>
      <w:tblPr>
        <w:tblW w:w="8190" w:type="dxa"/>
        <w:jc w:val="start"/>
        <w:tblInd w:w="5148" w:type="dxa"/>
        <w:tblLayout w:type="fixed"/>
        <w:tblCellMar>
          <w:top w:w="0" w:type="dxa"/>
          <w:start w:w="108" w:type="dxa"/>
          <w:bottom w:w="0" w:type="dxa"/>
          <w:end w:w="108" w:type="dxa"/>
        </w:tblCellMar>
      </w:tblPr>
      <w:tblGrid>
        <w:gridCol w:w="1620"/>
        <w:gridCol w:w="1800"/>
        <w:gridCol w:w="2250"/>
        <w:gridCol w:w="2520"/>
      </w:tblGrid>
      <w:tr>
        <w:trPr/>
        <w:tc>
          <w:tcPr>
            <w:tcW w:w="1620" w:type="dxa"/>
            <w:tcBorders>
              <w:top w:val="single" w:sz="4" w:space="0" w:color="000000"/>
              <w:start w:val="single" w:sz="4" w:space="0" w:color="000000"/>
              <w:bottom w:val="single" w:sz="4" w:space="0" w:color="000000"/>
              <w:end w:val="single" w:sz="4" w:space="0" w:color="000000"/>
            </w:tcBorders>
          </w:tcPr>
          <w:p>
            <w:pPr>
              <w:pStyle w:val="Heading1"/>
              <w:ind w:hanging="0" w:start="0"/>
              <w:rPr>
                <w:rFonts w:ascii="Arial" w:hAnsi="Arial" w:cs="Arial"/>
                <w:caps w:val="false"/>
                <w:smallCaps w:val="false"/>
              </w:rPr>
            </w:pPr>
            <w:r>
              <w:rPr>
                <w:rFonts w:cs="Arial" w:ascii="Arial" w:hAnsi="Arial"/>
                <w:caps w:val="false"/>
                <w:smallCaps w:val="false"/>
              </w:rPr>
              <w:t>Month</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2"/>
              </w:rPr>
            </w:pPr>
            <w:r>
              <w:rPr>
                <w:rFonts w:cs="Arial" w:ascii="Arial" w:hAnsi="Arial"/>
                <w:b/>
                <w:sz w:val="22"/>
              </w:rPr>
              <w:t>$/kw-month</w:t>
            </w:r>
          </w:p>
        </w:tc>
        <w:tc>
          <w:tcPr>
            <w:tcW w:w="22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2"/>
              </w:rPr>
            </w:pPr>
            <w:r>
              <w:rPr>
                <w:rFonts w:cs="Arial" w:ascii="Arial" w:hAnsi="Arial"/>
                <w:b/>
                <w:sz w:val="22"/>
              </w:rPr>
              <w:t>Capacity Charge</w:t>
            </w:r>
          </w:p>
        </w:tc>
        <w:tc>
          <w:tcPr>
            <w:tcW w:w="2520" w:type="dxa"/>
            <w:tcBorders/>
          </w:tcPr>
          <w:p>
            <w:pPr>
              <w:pStyle w:val="Normal"/>
              <w:snapToGrid w:val="false"/>
              <w:rPr>
                <w:rFonts w:ascii="Arial" w:hAnsi="Arial" w:cs="Arial"/>
                <w:b/>
                <w:sz w:val="22"/>
              </w:rPr>
            </w:pPr>
            <w:r>
              <w:rPr>
                <w:rFonts w:cs="Arial" w:ascii="Arial" w:hAnsi="Arial"/>
                <w:b/>
                <w:sz w:val="22"/>
              </w:rPr>
            </w:r>
          </w:p>
        </w:tc>
      </w:tr>
      <w:tr>
        <w:trPr/>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January</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$4.02</w:t>
            </w:r>
          </w:p>
        </w:tc>
        <w:tc>
          <w:tcPr>
            <w:tcW w:w="22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$198,037</w:t>
            </w:r>
          </w:p>
        </w:tc>
        <w:tc>
          <w:tcPr>
            <w:tcW w:w="2520" w:type="dxa"/>
            <w:tcBorders/>
          </w:tcPr>
          <w:p>
            <w:pPr>
              <w:pStyle w:val="Normal"/>
              <w:snapToGrid w:val="false"/>
              <w:rPr>
                <w:rFonts w:ascii="Arial" w:hAnsi="Arial" w:cs="Arial"/>
                <w:sz w:val="22"/>
              </w:rPr>
            </w:pPr>
            <w:r>
              <w:rPr>
                <w:rFonts w:cs="Arial" w:ascii="Arial" w:hAnsi="Arial"/>
                <w:sz w:val="22"/>
              </w:rPr>
            </w:r>
          </w:p>
        </w:tc>
      </w:tr>
      <w:tr>
        <w:trPr/>
        <w:tc>
          <w:tcPr>
            <w:tcW w:w="1620" w:type="dxa"/>
            <w:tcBorders>
              <w:top w:val="single" w:sz="4" w:space="0" w:color="000000"/>
              <w:start w:val="single" w:sz="4" w:space="0" w:color="000000"/>
              <w:end w:val="single" w:sz="4" w:space="0" w:color="000000"/>
            </w:tcBorders>
          </w:tcPr>
          <w:p>
            <w:pPr>
              <w:pStyle w:val="Normal"/>
              <w:jc w:val="center"/>
              <w:rPr>
                <w:rFonts w:ascii="Arial" w:hAnsi="Arial" w:cs="Arial"/>
                <w:sz w:val="22"/>
              </w:rPr>
            </w:pPr>
            <w:r>
              <w:rPr>
                <w:rFonts w:cs="Arial" w:ascii="Arial" w:hAnsi="Arial"/>
                <w:sz w:val="22"/>
              </w:rPr>
              <w:t>February</w:t>
            </w:r>
          </w:p>
        </w:tc>
        <w:tc>
          <w:tcPr>
            <w:tcW w:w="1800" w:type="dxa"/>
            <w:tcBorders>
              <w:top w:val="single" w:sz="4" w:space="0" w:color="000000"/>
              <w:start w:val="single" w:sz="4" w:space="0" w:color="000000"/>
              <w:end w:val="single" w:sz="4" w:space="0" w:color="000000"/>
            </w:tcBorders>
          </w:tcPr>
          <w:p>
            <w:pPr>
              <w:pStyle w:val="Normal"/>
              <w:jc w:val="center"/>
              <w:rPr>
                <w:rFonts w:ascii="Arial" w:hAnsi="Arial" w:cs="Arial"/>
                <w:sz w:val="22"/>
              </w:rPr>
            </w:pPr>
            <w:r>
              <w:rPr>
                <w:rFonts w:cs="Arial" w:ascii="Arial" w:hAnsi="Arial"/>
                <w:sz w:val="22"/>
              </w:rPr>
              <w:t>$9.62</w:t>
            </w:r>
          </w:p>
        </w:tc>
        <w:tc>
          <w:tcPr>
            <w:tcW w:w="2250" w:type="dxa"/>
            <w:tcBorders>
              <w:top w:val="single" w:sz="4" w:space="0" w:color="000000"/>
              <w:start w:val="single" w:sz="4" w:space="0" w:color="000000"/>
              <w:end w:val="single" w:sz="4" w:space="0" w:color="000000"/>
            </w:tcBorders>
          </w:tcPr>
          <w:p>
            <w:pPr>
              <w:pStyle w:val="Normal"/>
              <w:jc w:val="center"/>
              <w:rPr>
                <w:rFonts w:ascii="Arial" w:hAnsi="Arial" w:cs="Arial"/>
                <w:sz w:val="22"/>
              </w:rPr>
            </w:pPr>
            <w:r>
              <w:rPr>
                <w:rFonts w:cs="Arial" w:ascii="Arial" w:hAnsi="Arial"/>
                <w:sz w:val="22"/>
              </w:rPr>
              <w:t>$471,535</w:t>
            </w:r>
          </w:p>
        </w:tc>
        <w:tc>
          <w:tcPr>
            <w:tcW w:w="2520" w:type="dxa"/>
            <w:tcBorders/>
          </w:tcPr>
          <w:p>
            <w:pPr>
              <w:pStyle w:val="Normal"/>
              <w:snapToGrid w:val="false"/>
              <w:rPr>
                <w:rFonts w:ascii="Arial" w:hAnsi="Arial" w:cs="Arial"/>
                <w:sz w:val="22"/>
              </w:rPr>
            </w:pPr>
            <w:r>
              <w:rPr>
                <w:rFonts w:cs="Arial" w:ascii="Arial" w:hAnsi="Arial"/>
                <w:sz w:val="22"/>
              </w:rPr>
            </w:r>
          </w:p>
        </w:tc>
      </w:tr>
      <w:tr>
        <w:trPr/>
        <w:tc>
          <w:tcPr>
            <w:tcW w:w="1620" w:type="dxa"/>
            <w:tcBorders>
              <w:top w:val="single" w:sz="4" w:space="0" w:color="000000"/>
            </w:tcBorders>
          </w:tcPr>
          <w:p>
            <w:pPr>
              <w:pStyle w:val="Normal"/>
              <w:snapToGrid w:val="false"/>
              <w:jc w:val="center"/>
              <w:rPr>
                <w:rFonts w:ascii="Arial" w:hAnsi="Arial" w:cs="Arial"/>
                <w:sz w:val="22"/>
              </w:rPr>
            </w:pPr>
            <w:r>
              <w:rPr>
                <w:rFonts w:cs="Arial" w:ascii="Arial" w:hAnsi="Arial"/>
                <w:sz w:val="22"/>
              </w:rPr>
            </w:r>
          </w:p>
        </w:tc>
        <w:tc>
          <w:tcPr>
            <w:tcW w:w="1800" w:type="dxa"/>
            <w:tcBorders>
              <w:top w:val="single" w:sz="4" w:space="0" w:color="000000"/>
            </w:tcBorders>
          </w:tcPr>
          <w:p>
            <w:pPr>
              <w:pStyle w:val="Normal"/>
              <w:snapToGrid w:val="false"/>
              <w:jc w:val="center"/>
              <w:rPr>
                <w:rFonts w:ascii="Arial" w:hAnsi="Arial" w:cs="Arial"/>
                <w:sz w:val="22"/>
              </w:rPr>
            </w:pPr>
            <w:r>
              <w:rPr>
                <w:rFonts w:cs="Arial" w:ascii="Arial" w:hAnsi="Arial"/>
                <w:sz w:val="22"/>
              </w:rPr>
            </w:r>
          </w:p>
        </w:tc>
        <w:tc>
          <w:tcPr>
            <w:tcW w:w="2250" w:type="dxa"/>
            <w:tcBorders>
              <w:top w:val="single" w:sz="4" w:space="0" w:color="000000"/>
            </w:tcBorders>
          </w:tcPr>
          <w:p>
            <w:pPr>
              <w:pStyle w:val="Normal"/>
              <w:snapToGrid w:val="false"/>
              <w:jc w:val="center"/>
              <w:rPr>
                <w:rFonts w:ascii="Arial" w:hAnsi="Arial" w:cs="Arial"/>
                <w:sz w:val="22"/>
              </w:rPr>
            </w:pPr>
            <w:r>
              <w:rPr>
                <w:rFonts w:cs="Arial" w:ascii="Arial" w:hAnsi="Arial"/>
                <w:sz w:val="22"/>
              </w:rPr>
            </w:r>
          </w:p>
        </w:tc>
        <w:tc>
          <w:tcPr>
            <w:tcW w:w="2520" w:type="dxa"/>
            <w:tcBorders/>
          </w:tcPr>
          <w:p>
            <w:pPr>
              <w:pStyle w:val="Normal"/>
              <w:snapToGrid w:val="false"/>
              <w:rPr>
                <w:rFonts w:ascii="Arial" w:hAnsi="Arial" w:cs="Arial"/>
                <w:sz w:val="22"/>
              </w:rPr>
            </w:pPr>
            <w:r>
              <w:rPr>
                <w:rFonts w:cs="Arial" w:ascii="Arial" w:hAnsi="Arial"/>
                <w:sz w:val="22"/>
              </w:rPr>
            </w:r>
          </w:p>
        </w:tc>
      </w:tr>
    </w:tbl>
    <w:p>
      <w:pPr>
        <w:pStyle w:val="Normal"/>
        <w:ind w:firstLine="720" w:start="1440" w:end="0"/>
        <w:rPr>
          <w:rFonts w:ascii="Arial" w:hAnsi="Arial" w:cs="Arial"/>
          <w:sz w:val="22"/>
        </w:rPr>
      </w:pPr>
      <w:r>
        <w:rPr>
          <w:rFonts w:cs="Arial" w:ascii="Arial" w:hAnsi="Arial"/>
          <w:sz w:val="22"/>
        </w:rPr>
        <w:t>Energy Charge:</w:t>
        <w:tab/>
        <w:tab/>
        <w:t>$80/MWh for energy delivered</w:t>
      </w:r>
    </w:p>
    <w:p>
      <w:pPr>
        <w:pStyle w:val="Normal"/>
        <w:rPr>
          <w:rFonts w:ascii="Arial" w:hAnsi="Arial" w:cs="Arial"/>
          <w:sz w:val="22"/>
        </w:rPr>
      </w:pPr>
      <w:r>
        <w:rPr>
          <w:rFonts w:cs="Arial" w:ascii="Arial" w:hAnsi="Arial"/>
          <w:sz w:val="22"/>
        </w:rPr>
      </w:r>
    </w:p>
    <w:p>
      <w:pPr>
        <w:pStyle w:val="Normal"/>
        <w:ind w:hanging="2880" w:start="5040" w:end="0"/>
        <w:rPr>
          <w:rFonts w:ascii="Arial" w:hAnsi="Arial" w:cs="Arial"/>
          <w:sz w:val="22"/>
        </w:rPr>
      </w:pPr>
      <w:r>
        <w:rPr>
          <w:rFonts w:cs="Arial" w:ascii="Arial" w:hAnsi="Arial"/>
          <w:sz w:val="22"/>
        </w:rPr>
        <w:t>Capacity Charge Refund:</w:t>
        <w:tab/>
        <w:t xml:space="preserve">If one of Reliant’s units fails, EPMI would receive a pro-rata refund of its capacity charge accordingly.  </w:t>
      </w:r>
    </w:p>
    <w:p>
      <w:pPr>
        <w:pStyle w:val="Normal"/>
        <w:rPr>
          <w:rFonts w:ascii="Arial" w:hAnsi="Arial" w:cs="Arial"/>
          <w:sz w:val="22"/>
        </w:rPr>
      </w:pPr>
      <w:r>
        <w:rPr>
          <w:rFonts w:cs="Arial" w:ascii="Arial" w:hAnsi="Arial"/>
          <w:sz w:val="22"/>
        </w:rPr>
      </w:r>
    </w:p>
    <w:p>
      <w:pPr>
        <w:pStyle w:val="Normal"/>
        <w:rPr/>
      </w:pPr>
      <w:r>
        <w:rPr>
          <w:rFonts w:cs="Arial" w:ascii="Arial" w:hAnsi="Arial"/>
          <w:b/>
          <w:color w:val="000000"/>
          <w:sz w:val="22"/>
          <w:lang w:eastAsia="en-US"/>
        </w:rPr>
        <w:t>Delivery Point:</w:t>
        <w:tab/>
      </w:r>
      <w:r>
        <w:rPr>
          <w:rFonts w:cs="Arial" w:ascii="Arial" w:hAnsi="Arial"/>
          <w:color w:val="000000"/>
          <w:sz w:val="22"/>
          <w:lang w:eastAsia="en-US"/>
        </w:rPr>
        <w:t>Into FPC, TECO, or OUC, per EPMI’s choice</w:t>
      </w:r>
    </w:p>
    <w:p>
      <w:pPr>
        <w:pStyle w:val="Normal"/>
        <w:rPr>
          <w:rFonts w:ascii="Arial" w:hAnsi="Arial" w:cs="Arial"/>
          <w:b/>
          <w:color w:val="000000"/>
          <w:sz w:val="22"/>
          <w:lang w:eastAsia="en-US"/>
        </w:rPr>
      </w:pPr>
      <w:r>
        <w:rPr>
          <w:rFonts w:cs="Arial" w:ascii="Arial" w:hAnsi="Arial"/>
          <w:b/>
          <w:color w:val="000000"/>
          <w:sz w:val="22"/>
          <w:lang w:eastAsia="en-US"/>
        </w:rPr>
      </w:r>
    </w:p>
    <w:p>
      <w:pPr>
        <w:pStyle w:val="Normal"/>
        <w:ind w:hanging="720" w:start="720" w:end="0"/>
        <w:rPr/>
      </w:pPr>
      <w:r>
        <w:rPr>
          <w:rFonts w:cs="Arial" w:ascii="Arial" w:hAnsi="Arial"/>
          <w:b/>
          <w:color w:val="000000"/>
          <w:sz w:val="22"/>
          <w:lang w:eastAsia="en-US"/>
        </w:rPr>
        <w:t>Scheduling:</w:t>
      </w:r>
      <w:r>
        <w:rPr>
          <w:rFonts w:cs="Arial" w:ascii="Arial" w:hAnsi="Arial"/>
          <w:color w:val="000000"/>
          <w:sz w:val="22"/>
          <w:lang w:eastAsia="en-US"/>
        </w:rPr>
        <w:tab/>
        <w:tab/>
        <w:t xml:space="preserve">Standard day ahead scheduling by 9:30 a.m. CPT, with 8 hour minimum runs. </w:t>
      </w:r>
    </w:p>
    <w:p>
      <w:pPr>
        <w:pStyle w:val="Normal"/>
        <w:rPr>
          <w:rFonts w:ascii="Arial" w:hAnsi="Arial" w:cs="Arial"/>
          <w:b/>
          <w:color w:val="000000"/>
          <w:sz w:val="22"/>
          <w:lang w:eastAsia="en-US"/>
        </w:rPr>
      </w:pPr>
      <w:r>
        <w:rPr>
          <w:rFonts w:cs="Arial" w:ascii="Arial" w:hAnsi="Arial"/>
          <w:b/>
          <w:color w:val="000000"/>
          <w:sz w:val="22"/>
          <w:lang w:eastAsia="en-US"/>
        </w:rPr>
      </w:r>
    </w:p>
    <w:p>
      <w:pPr>
        <w:pStyle w:val="Normal"/>
        <w:ind w:hanging="2160" w:start="2160" w:end="0"/>
        <w:rPr>
          <w:rFonts w:ascii="Arial" w:hAnsi="Arial" w:cs="Arial"/>
          <w:b/>
          <w:color w:val="000000"/>
          <w:sz w:val="22"/>
          <w:lang w:eastAsia="en-US"/>
        </w:rPr>
      </w:pPr>
      <w:r>
        <w:rPr>
          <w:rFonts w:cs="Arial" w:ascii="Arial" w:hAnsi="Arial"/>
          <w:b/>
          <w:color w:val="000000"/>
          <w:sz w:val="22"/>
          <w:lang w:eastAsia="en-US"/>
        </w:rPr>
        <w:t>Transmission:</w:t>
        <w:tab/>
      </w:r>
      <w:r>
        <w:rPr>
          <w:rFonts w:cs="Arial" w:ascii="Arial" w:hAnsi="Arial"/>
          <w:color w:val="000000"/>
          <w:sz w:val="22"/>
          <w:lang w:eastAsia="en-US"/>
        </w:rPr>
        <w:t>EPMI responsible for transmission and costs from the Delivery Point to the sink.  Reliant responsible for transmission and costs to the Delivery Point.</w:t>
      </w:r>
    </w:p>
    <w:p>
      <w:pPr>
        <w:pStyle w:val="Normal"/>
        <w:rPr>
          <w:rFonts w:ascii="Arial" w:hAnsi="Arial" w:cs="Arial"/>
          <w:sz w:val="22"/>
        </w:rPr>
      </w:pPr>
      <w:r>
        <w:rPr>
          <w:rFonts w:cs="Arial" w:ascii="Arial" w:hAnsi="Arial"/>
          <w:sz w:val="22"/>
        </w:rPr>
        <w:tab/>
      </w:r>
    </w:p>
    <w:p>
      <w:pPr>
        <w:pStyle w:val="Normal"/>
        <w:rPr>
          <w:rFonts w:ascii="Arial" w:hAnsi="Arial" w:cs="Arial"/>
          <w:b/>
          <w:sz w:val="22"/>
        </w:rPr>
      </w:pPr>
      <w:r>
        <w:rPr>
          <w:rFonts w:cs="Arial" w:ascii="Arial" w:hAnsi="Arial"/>
          <w:b/>
          <w:sz w:val="22"/>
        </w:rPr>
        <w:t xml:space="preserve">Terms &amp; </w:t>
      </w:r>
    </w:p>
    <w:p>
      <w:pPr>
        <w:pStyle w:val="Normal"/>
        <w:ind w:hanging="2160" w:start="2160" w:end="0"/>
        <w:jc w:val="both"/>
        <w:rPr/>
      </w:pPr>
      <w:r>
        <w:rPr>
          <w:rFonts w:cs="Arial" w:ascii="Arial" w:hAnsi="Arial"/>
          <w:b/>
          <w:sz w:val="22"/>
        </w:rPr>
        <w:t>Conditions:</w:t>
        <w:tab/>
      </w:r>
      <w:r>
        <w:rPr>
          <w:rFonts w:cs="Arial" w:ascii="Arial" w:hAnsi="Arial"/>
          <w:sz w:val="22"/>
        </w:rPr>
        <w:t>An Exhibit A Confirmation Letter would be negotiated between the Parties, and would be subject to the Terms and Conditions of the existing EEI Master Power Purchase and Sale Agreement between the Parties.</w:t>
      </w:r>
    </w:p>
    <w:p>
      <w:pPr>
        <w:pStyle w:val="Normal"/>
        <w:jc w:val="both"/>
        <w:rPr>
          <w:rFonts w:ascii="Arial" w:hAnsi="Arial" w:cs="Arial"/>
          <w:b/>
          <w:sz w:val="22"/>
        </w:rPr>
      </w:pPr>
      <w:r>
        <w:rPr>
          <w:rFonts w:cs="Arial" w:ascii="Arial" w:hAnsi="Arial"/>
          <w:b/>
          <w:sz w:val="22"/>
        </w:rPr>
      </w:r>
    </w:p>
    <w:p>
      <w:pPr>
        <w:pStyle w:val="Normal"/>
        <w:ind w:hanging="2160" w:start="2160" w:end="0"/>
        <w:jc w:val="both"/>
        <w:rPr/>
      </w:pPr>
      <w:r>
        <w:rPr>
          <w:rFonts w:cs="Arial" w:ascii="Arial" w:hAnsi="Arial"/>
          <w:b/>
          <w:sz w:val="22"/>
        </w:rPr>
        <w:t>Failure to Perform:</w:t>
        <w:tab/>
      </w:r>
      <w:r>
        <w:rPr>
          <w:rFonts w:cs="Arial" w:ascii="Arial" w:hAnsi="Arial"/>
          <w:sz w:val="22"/>
        </w:rPr>
        <w:t>If either unit becomes fully or partially unavailable, Reliant would provide EPMI the balance of the MW’s available for the applicable period.  Reliant would be excused from delivering all or part of the scheduled energy for those periods to the extent that  (a) one or more of the units are not available as a result of an unscheduled unit outage (Force Majeure) and (b) Reliant does not have sufficient available system resources to both satisfy Reliant’s Native Firm Load and provide the scheduled energy.  Reliant‘s Native Firm Load is defined as (a) all retail electric energy customers served under Lakeland Electric’s rate schedules for Mcintosh Unit 5, and (b) 593 MW of the total output from the Indian River Plant (which is under contract to serve OUC’s native retail load.)  There would be no scheduled outages planned during the term of the agreement.</w:t>
      </w:r>
    </w:p>
    <w:p>
      <w:pPr>
        <w:pStyle w:val="Normal"/>
        <w:jc w:val="both"/>
        <w:rPr>
          <w:rFonts w:ascii="Arial" w:hAnsi="Arial" w:cs="Arial"/>
          <w:sz w:val="22"/>
        </w:rPr>
      </w:pPr>
      <w:r>
        <w:rPr>
          <w:rFonts w:cs="Arial" w:ascii="Arial" w:hAnsi="Arial"/>
          <w:sz w:val="22"/>
        </w:rPr>
      </w:r>
    </w:p>
    <w:p>
      <w:pPr>
        <w:pStyle w:val="Normal"/>
        <w:ind w:start="2160" w:end="0"/>
        <w:jc w:val="both"/>
        <w:rPr>
          <w:rFonts w:ascii="Arial" w:hAnsi="Arial" w:cs="Arial"/>
          <w:sz w:val="22"/>
        </w:rPr>
      </w:pPr>
      <w:r>
        <w:rPr>
          <w:rFonts w:cs="Arial" w:ascii="Arial" w:hAnsi="Arial"/>
          <w:sz w:val="22"/>
        </w:rPr>
        <w:t xml:space="preserve">Reliant’s liability for failure to deliver scheduled energy would be limited to refund of the applicable portion of the Capacity Charges for each affected day with the exception that Reliant would not reduce deliveries to EPMI in order to take advantage of other market opportunities. If Reliant reduces delivery of energy to EPMI in order to take advantage of other market opportunities, then Reliant would also be liable to EPMI for the difference between the contract price of such energy to EPMI and the replacement cost for EPMI to purchase such energy from another source in a commercially reasonable manner. </w:t>
      </w:r>
    </w:p>
    <w:p>
      <w:pPr>
        <w:pStyle w:val="Normal"/>
        <w:jc w:val="both"/>
        <w:rPr>
          <w:rFonts w:ascii="Arial" w:hAnsi="Arial" w:cs="Arial"/>
          <w:sz w:val="22"/>
        </w:rPr>
      </w:pPr>
      <w:r>
        <w:rPr>
          <w:rFonts w:cs="Arial" w:ascii="Arial" w:hAnsi="Arial"/>
          <w:sz w:val="22"/>
        </w:rPr>
      </w:r>
    </w:p>
    <w:p>
      <w:pPr>
        <w:pStyle w:val="Normal"/>
        <w:ind w:hanging="2160" w:start="2160" w:end="0"/>
        <w:jc w:val="both"/>
        <w:rPr>
          <w:rFonts w:ascii="Arial" w:hAnsi="Arial" w:cs="Arial"/>
          <w:sz w:val="22"/>
          <w:lang w:eastAsia="en-US"/>
        </w:rPr>
      </w:pPr>
      <w:r>
        <w:rPr>
          <w:rFonts w:cs="Arial" w:ascii="Arial" w:hAnsi="Arial"/>
          <w:b/>
          <w:sz w:val="22"/>
        </w:rPr>
        <w:t>Confidentiality:</w:t>
      </w:r>
      <w:r>
        <w:rPr>
          <w:rFonts w:cs="Arial" w:ascii="Arial" w:hAnsi="Arial"/>
          <w:sz w:val="22"/>
        </w:rPr>
        <w:tab/>
        <w:t>All terms and conditions of this proposal are proprietary trade secrets of EPMI and are exempted by the “Florida Public Records Law” and must be kept confidential between Reliant, EPMI, and their duly appointed agents.</w:t>
      </w:r>
    </w:p>
    <w:p>
      <w:pPr>
        <w:pStyle w:val="Normal"/>
        <w:rPr>
          <w:rFonts w:ascii="Arial" w:hAnsi="Arial" w:cs="Arial"/>
          <w:sz w:val="22"/>
          <w:lang w:eastAsia="en-US"/>
        </w:rPr>
      </w:pPr>
      <w:r>
        <w:rPr>
          <w:rFonts w:cs="Arial" w:ascii="Arial" w:hAnsi="Arial"/>
          <w:sz w:val="22"/>
          <w:lang w:eastAsia="en-US"/>
        </w:rPr>
      </w:r>
    </w:p>
    <w:p>
      <w:pPr>
        <w:pStyle w:val="Normal"/>
        <w:jc w:val="both"/>
        <w:rPr/>
      </w:pPr>
      <w:r>
        <w:rPr>
          <w:rFonts w:cs="Arial" w:ascii="Arial" w:hAnsi="Arial"/>
          <w:b/>
          <w:i/>
          <w:sz w:val="22"/>
        </w:rPr>
        <w:t xml:space="preserve">The prices and terms of this Proposal are subject to change until a definitive agreement is reached.  This Proposal is for discussion purposes only, to facilitate the negotiation, preparation, and execution of a definitive agreement. This is not an offer or commitment of Buyer or any of its affiliates to enter into any transaction.  The transaction described herein is subject to further review and approval of the Board of Directors of Seller and Buyer, and execution of a definitive agreement containing all appropriate provisions, including those related to payment terms, events of default and remedies, dispute resolution, limitations of damages, credit, confidentiality, and governing law. </w:t>
        <w:tab/>
        <w:tab/>
        <w:tab/>
      </w:r>
      <w:r>
        <w:rPr>
          <w:b/>
          <w:i/>
        </w:rPr>
        <w:tab/>
        <w:tab/>
      </w:r>
    </w:p>
    <w:p>
      <w:pPr>
        <w:pStyle w:val="Normal"/>
        <w:rPr>
          <w:rFonts w:ascii="Arial" w:hAnsi="Arial" w:cs="Arial"/>
          <w:b/>
          <w:i/>
          <w:i/>
          <w:sz w:val="16"/>
        </w:rPr>
      </w:pPr>
      <w:r>
        <w:rPr>
          <w:rFonts w:cs="Arial" w:ascii="Arial" w:hAnsi="Arial"/>
          <w:b/>
          <w:i/>
          <w:sz w:val="16"/>
        </w:rPr>
      </w:r>
    </w:p>
    <w:p>
      <w:pPr>
        <w:pStyle w:val="Normal"/>
        <w:rPr>
          <w:rFonts w:ascii="Arial" w:hAnsi="Arial" w:cs="Arial"/>
          <w:sz w:val="16"/>
        </w:rPr>
      </w:pPr>
      <w:r>
        <w:rPr>
          <w:rFonts w:cs="Arial" w:ascii="Arial" w:hAnsi="Arial"/>
          <w:sz w:val="16"/>
        </w:rPr>
        <w:t>reliant proposal v4a 2001 call.doc</w:t>
      </w:r>
    </w:p>
    <w:sectPr>
      <w:headerReference w:type="default" r:id="rId2"/>
      <w:footerReference w:type="default" r:id="rId3"/>
      <w:type w:val="nextPage"/>
      <w:pgSz w:w="12240" w:h="15840"/>
      <w:pgMar w:left="720" w:right="720" w:gutter="0" w:header="720" w:top="1627" w:footer="936" w:bottom="135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etica">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en-US"/>
      </w:rPr>
    </w:pPr>
    <w:r>
      <w:rPr>
        <w:lang w:eastAsia="en-US"/>
      </w:rPr>
    </w:r>
  </w:p>
  <w:p>
    <w:pPr>
      <w:pStyle w:val="Footer"/>
      <w:jc w:val="center"/>
      <w:rPr>
        <w:lang w:val="en-CA" w:eastAsia="en-US"/>
      </w:rPr>
    </w:pPr>
    <w:r>
      <w:rPr>
        <w:lang w:val="en-CA" w:eastAsia="en-US"/>
      </w:rPr>
      <w:drawing>
        <wp:anchor behindDoc="1" distT="0" distB="0" distL="114935" distR="114935" simplePos="0" locked="0" layoutInCell="1" allowOverlap="1" relativeHeight="3">
          <wp:simplePos x="0" y="0"/>
          <wp:positionH relativeFrom="column">
            <wp:posOffset>4892040</wp:posOffset>
          </wp:positionH>
          <wp:positionV relativeFrom="paragraph">
            <wp:posOffset>25400</wp:posOffset>
          </wp:positionV>
          <wp:extent cx="606425" cy="609600"/>
          <wp:effectExtent l="0" t="0" r="0" b="0"/>
          <wp:wrapNone/>
          <wp:docPr id="2" name="ENE_C_WHI"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_C_WHI" descr="" title=""/>
                  <pic:cNvPicPr>
                    <a:picLocks noChangeAspect="1" noChangeArrowheads="1"/>
                  </pic:cNvPicPr>
                </pic:nvPicPr>
                <pic:blipFill>
                  <a:blip r:embed="rId1"/>
                  <a:srcRect l="-6" t="-6" r="-6" b="-6"/>
                  <a:stretch>
                    <a:fillRect/>
                  </a:stretch>
                </pic:blipFill>
                <pic:spPr bwMode="auto">
                  <a:xfrm>
                    <a:off x="0" y="0"/>
                    <a:ext cx="606425" cy="609600"/>
                  </a:xfrm>
                  <a:prstGeom prst="rect">
                    <a:avLst/>
                  </a:prstGeom>
                  <a:noFill/>
                </pic:spPr>
              </pic:pic>
            </a:graphicData>
          </a:graphic>
        </wp:anchor>
      </w:drawing>
    </w:r>
  </w:p>
  <w:p>
    <w:pPr>
      <w:pStyle w:val="Footer"/>
      <w:jc w:val="center"/>
      <w:rPr>
        <w:lang w:eastAsia="en-US"/>
      </w:rPr>
    </w:pPr>
    <w:r>
      <w:rPr>
        <w:lang w:eastAsia="en-US"/>
      </w:rPr>
    </w:r>
  </w:p>
  <w:p>
    <w:pPr>
      <w:pStyle w:val="Footer"/>
      <w:jc w:val="center"/>
      <w:rPr/>
    </w:pPr>
    <w:r>
      <w:rPr>
        <w:lang w:eastAsia="en-US"/>
      </w:rPr>
      <w:t xml:space="preserve">Page </w:t>
    </w:r>
    <w:r>
      <w:rPr>
        <w:lang w:eastAsia="en-US"/>
      </w:rPr>
      <w:fldChar w:fldCharType="begin"/>
    </w:r>
    <w:r>
      <w:rPr>
        <w:lang w:eastAsia="en-US"/>
      </w:rPr>
      <w:instrText xml:space="preserve"> PAGE </w:instrText>
    </w:r>
    <w:r>
      <w:rPr>
        <w:lang w:eastAsia="en-US"/>
      </w:rPr>
      <w:fldChar w:fldCharType="separate"/>
    </w:r>
    <w:r>
      <w:rPr>
        <w:lang w:eastAsia="en-US"/>
      </w:rPr>
      <w:t>2</w:t>
    </w:r>
    <w:r>
      <w:rPr>
        <w:lang w:eastAsia="en-US"/>
      </w:rPr>
      <w:fldChar w:fldCharType="end"/>
    </w:r>
    <w:r>
      <w:rPr>
        <w:lang w:eastAsia="en-US"/>
      </w:rPr>
      <w:t xml:space="preserve"> of </w:t>
    </w:r>
    <w:r>
      <w:rPr>
        <w:lang w:eastAsia="en-US"/>
      </w:rPr>
      <w:fldChar w:fldCharType="begin"/>
    </w:r>
    <w:r>
      <w:rPr>
        <w:lang w:eastAsia="en-US"/>
      </w:rPr>
      <w:instrText xml:space="preserve"> NUMPAGES \* ARABIC </w:instrText>
    </w:r>
    <w:r>
      <w:rPr>
        <w:lang w:eastAsia="en-US"/>
      </w:rPr>
      <w:fldChar w:fldCharType="separate"/>
    </w:r>
    <w:r>
      <w:rPr>
        <w:lang w:eastAsia="en-US"/>
      </w:rPr>
      <w:t>2</w:t>
    </w:r>
    <w:r>
      <w:rPr>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 xml:space="preserve"> </w:t>
    </w:r>
    <w:r>
      <mc:AlternateContent>
        <mc:Choice Requires="wps">
          <w:drawing>
            <wp:anchor behindDoc="1" distT="0" distB="0" distL="114935" distR="114935" simplePos="0" locked="0" layoutInCell="1" allowOverlap="1" relativeHeight="5">
              <wp:simplePos x="0" y="0"/>
              <wp:positionH relativeFrom="column">
                <wp:posOffset>-50165</wp:posOffset>
              </wp:positionH>
              <wp:positionV relativeFrom="paragraph">
                <wp:posOffset>-4445</wp:posOffset>
              </wp:positionV>
              <wp:extent cx="6912610" cy="283210"/>
              <wp:effectExtent l="0" t="0" r="0" b="0"/>
              <wp:wrapNone/>
              <wp:docPr id="1" name="Frame1"/>
              <a:graphic xmlns:a="http://schemas.openxmlformats.org/drawingml/2006/main">
                <a:graphicData uri="http://schemas.microsoft.com/office/word/2010/wordprocessingShape">
                  <wps:wsp>
                    <wps:cNvSpPr txBox="1"/>
                    <wps:spPr>
                      <a:xfrm>
                        <a:off x="0" y="0"/>
                        <a:ext cx="6912610" cy="283210"/>
                      </a:xfrm>
                      <a:prstGeom prst="rect"/>
                      <a:solidFill>
                        <a:srgbClr val="0000FF"/>
                      </a:solidFill>
                      <a:ln w="9525">
                        <a:solidFill>
                          <a:srgbClr val="000000"/>
                        </a:solidFill>
                      </a:ln>
                    </wps:spPr>
                    <wps:txbx>
                      <w:txbxContent>
                        <w:p>
                          <w:pPr>
                            <w:pStyle w:val="Heading4"/>
                            <w:rPr>
                              <w:color w:val="FFFFFF"/>
                            </w:rPr>
                          </w:pPr>
                          <w:r>
                            <w:rPr>
                              <w:color w:val="FFFFFF"/>
                            </w:rPr>
                            <w:t>Proprietary &amp; Confidential Information, For Discussion Only</w:t>
                          </w:r>
                        </w:p>
                      </w:txbxContent>
                    </wps:txbx>
                    <wps:bodyPr anchor="t" lIns="91440" tIns="45720" rIns="91440" bIns="45720">
                      <a:noAutofit/>
                    </wps:bodyPr>
                  </wps:wsp>
                </a:graphicData>
              </a:graphic>
            </wp:anchor>
          </w:drawing>
        </mc:Choice>
        <mc:Fallback>
          <w:pict>
            <v:rect fillcolor="#0000FF" strokecolor="#000000" strokeweight="0pt" style="position:absolute;rotation:-0;width:544.3pt;height:22.3pt;mso-wrap-distance-left:9.05pt;mso-wrap-distance-right:9.05pt;mso-wrap-distance-top:0pt;mso-wrap-distance-bottom:0pt;margin-top:-0.35pt;mso-position-vertical-relative:text;margin-left:-3.95pt;mso-position-horizontal-relative:text">
              <v:textbox>
                <w:txbxContent>
                  <w:p>
                    <w:pPr>
                      <w:pStyle w:val="Heading4"/>
                      <w:rPr>
                        <w:color w:val="FFFFFF"/>
                      </w:rPr>
                    </w:pPr>
                    <w:r>
                      <w:rPr>
                        <w:color w:val="FFFFFF"/>
                      </w:rPr>
                      <w:t>Proprietary &amp; Confidential Information, For Discussion Only</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7"/>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mallCaps/>
      <w:sz w:val="2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spacing w:lineRule="atLeast" w:line="240"/>
      <w:ind w:hanging="1980" w:start="1980" w:end="0"/>
      <w:jc w:val="center"/>
      <w:outlineLvl w:val="3"/>
    </w:pPr>
    <w:rPr>
      <w:rFonts w:ascii="Arial" w:hAnsi="Arial" w:cs="Arial"/>
      <w:b/>
      <w:color w:val="000000"/>
      <w:lang w:eastAsia="en-US"/>
    </w:rPr>
  </w:style>
  <w:style w:type="paragraph" w:styleId="Heading5">
    <w:name w:val="heading 5"/>
    <w:basedOn w:val="Normal"/>
    <w:next w:val="Normal"/>
    <w:qFormat/>
    <w:pPr>
      <w:keepNext w:val="true"/>
      <w:numPr>
        <w:ilvl w:val="4"/>
        <w:numId w:val="1"/>
      </w:numPr>
      <w:spacing w:lineRule="atLeast" w:line="240"/>
      <w:jc w:val="center"/>
      <w:outlineLvl w:val="4"/>
    </w:pPr>
    <w:rPr>
      <w:rFonts w:ascii="Arial" w:hAnsi="Arial" w:cs="Arial"/>
      <w:b/>
      <w:color w:val="000000"/>
      <w:u w:val="single"/>
      <w:lang w:eastAsia="en-US"/>
    </w:rPr>
  </w:style>
  <w:style w:type="paragraph" w:styleId="Heading6">
    <w:name w:val="heading 6"/>
    <w:basedOn w:val="Normal"/>
    <w:next w:val="Normal"/>
    <w:qFormat/>
    <w:pPr>
      <w:keepNext w:val="true"/>
      <w:numPr>
        <w:ilvl w:val="5"/>
        <w:numId w:val="1"/>
      </w:numPr>
      <w:spacing w:lineRule="atLeast" w:line="240"/>
      <w:jc w:val="both"/>
      <w:outlineLvl w:val="5"/>
    </w:pPr>
    <w:rPr>
      <w:rFonts w:ascii="Arial" w:hAnsi="Arial" w:cs="Arial"/>
      <w:b/>
      <w:color w:val="000000"/>
      <w:u w:val="single"/>
      <w:lang w:eastAsia="en-US"/>
    </w:rPr>
  </w:style>
  <w:style w:type="paragraph" w:styleId="Heading7">
    <w:name w:val="heading 7"/>
    <w:basedOn w:val="Normal"/>
    <w:next w:val="Normal"/>
    <w:qFormat/>
    <w:pPr>
      <w:keepNext w:val="true"/>
      <w:numPr>
        <w:ilvl w:val="6"/>
        <w:numId w:val="1"/>
      </w:numPr>
      <w:spacing w:lineRule="atLeast" w:line="240"/>
      <w:ind w:hanging="2160" w:start="2160" w:end="0"/>
      <w:jc w:val="both"/>
      <w:outlineLvl w:val="6"/>
    </w:pPr>
    <w:rPr>
      <w:rFonts w:ascii="Arial" w:hAnsi="Arial" w:cs="Arial"/>
      <w:b/>
      <w:color w:val="000000"/>
      <w:u w:val="single"/>
      <w:lang w:eastAsia="en-US"/>
    </w:rPr>
  </w:style>
  <w:style w:type="paragraph" w:styleId="Heading8">
    <w:name w:val="heading 8"/>
    <w:basedOn w:val="Normal"/>
    <w:next w:val="Normal"/>
    <w:qFormat/>
    <w:pPr>
      <w:keepNext w:val="true"/>
      <w:numPr>
        <w:ilvl w:val="7"/>
        <w:numId w:val="1"/>
      </w:numPr>
      <w:spacing w:lineRule="atLeast" w:line="240"/>
      <w:ind w:hanging="2160" w:start="2160" w:end="0"/>
      <w:jc w:val="both"/>
      <w:outlineLvl w:val="7"/>
    </w:pPr>
    <w:rPr>
      <w:rFonts w:ascii="Arial" w:hAnsi="Arial" w:cs="Arial"/>
      <w:b/>
      <w:u w:val="single"/>
      <w:lang w:eastAsia="en-US"/>
    </w:rPr>
  </w:style>
  <w:style w:type="paragraph" w:styleId="Heading9">
    <w:name w:val="heading 9"/>
    <w:basedOn w:val="Normal"/>
    <w:next w:val="Normal"/>
    <w:qFormat/>
    <w:pPr>
      <w:keepNext w:val="true"/>
      <w:numPr>
        <w:ilvl w:val="8"/>
        <w:numId w:val="1"/>
      </w:numPr>
      <w:jc w:val="both"/>
      <w:outlineLvl w:val="8"/>
    </w:pPr>
    <w:rPr>
      <w:rFonts w:ascii="Arial" w:hAnsi="Arial" w:cs="Arial"/>
      <w:b/>
      <w:color w:val="000000"/>
      <w:lang w:eastAsia="en-US"/>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i/>
      <w:color w:val="000000"/>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lineRule="atLeast" w:line="240"/>
      <w:ind w:hanging="2160" w:start="2160" w:end="0"/>
    </w:pPr>
    <w:rPr>
      <w:rFonts w:ascii="Arial" w:hAnsi="Arial" w:cs="Arial"/>
      <w:color w:val="000000"/>
      <w:lang w:eastAsia="en-US"/>
    </w:rPr>
  </w:style>
  <w:style w:type="paragraph" w:styleId="BodyTextIndent2">
    <w:name w:val="Body Text Indent 2"/>
    <w:basedOn w:val="Normal"/>
    <w:qFormat/>
    <w:pPr>
      <w:spacing w:lineRule="atLeast" w:line="240"/>
      <w:ind w:hanging="2250" w:start="2250" w:end="0"/>
    </w:pPr>
    <w:rPr>
      <w:rFonts w:ascii="Arial" w:hAnsi="Arial" w:cs="Arial"/>
      <w:color w:val="000000"/>
      <w:lang w:eastAsia="en-US"/>
    </w:rPr>
  </w:style>
  <w:style w:type="paragraph" w:styleId="BodyText2">
    <w:name w:val="Body Text 2"/>
    <w:basedOn w:val="Normal"/>
    <w:qFormat/>
    <w:pPr>
      <w:jc w:val="center"/>
    </w:pPr>
    <w:rPr>
      <w:rFonts w:ascii="Arial" w:hAnsi="Arial" w:cs="Arial"/>
      <w:b/>
    </w:rPr>
  </w:style>
  <w:style w:type="paragraph" w:styleId="BodyTextIndent3">
    <w:name w:val="Body Text Indent 3"/>
    <w:basedOn w:val="Normal"/>
    <w:qFormat/>
    <w:pPr>
      <w:ind w:hanging="0" w:start="2160" w:end="0"/>
      <w:jc w:val="both"/>
    </w:pPr>
    <w:rPr>
      <w:rFonts w:ascii="Arial" w:hAnsi="Arial" w:cs="Arial"/>
    </w:rPr>
  </w:style>
  <w:style w:type="paragraph" w:styleId="BodyText3">
    <w:name w:val="Body Text 3"/>
    <w:basedOn w:val="Normal"/>
    <w:qFormat/>
    <w:pPr/>
    <w:rPr>
      <w:rFonts w:ascii="Arial" w:hAnsi="Arial" w:cs="Arial"/>
      <w:b/>
      <w:i/>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2000-12-05T23:00:00Z</dcterms:created>
  <dc:creator>David Fairley</dc:creator>
  <dc:description/>
  <dc:language>en-CA</dc:language>
  <cp:lastModifiedBy>David Fairley</cp:lastModifiedBy>
  <cp:lastPrinted>2000-12-05T19:37:00Z</cp:lastPrinted>
  <dcterms:modified xsi:type="dcterms:W3CDTF">2000-12-05T23:08:00Z</dcterms:modified>
  <cp:revision>4</cp:revision>
  <dc:subject/>
  <dc:title>PROPOSAL</dc:title>
</cp:coreProperties>
</file>