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RELIANT-04</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RELIANT ENERGY SERVICES CANADA, LTD.</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September 15, 1999</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(Enron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15</w:t>
      </w:r>
      <w:r>
        <w:rPr>
          <w:vertAlign w:val="superscript"/>
        </w:rPr>
        <w:t>th</w:t>
      </w:r>
      <w:r>
        <w:rPr/>
        <w:t xml:space="preserve"> day of September, </w:t>
      </w:r>
      <w:r>
        <w:rPr>
          <w:color w:val="0000FF"/>
        </w:rPr>
        <w:t xml:space="preserve">1999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rPr>
        <w:t>Reliant Energy Services Canada, Ltd.</w:t>
      </w:r>
      <w:r>
        <w:rPr/>
        <w:t xml:space="preserve">, a body corporate, with offices in Houston, Texas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Canada Corp.</w:t>
      </w:r>
      <w:r>
        <w:rPr/>
        <w:t xml:space="preserve">, a body corporate, with offices in Calgary, Alberta (hereinafter referred to as "Enron Canada")  </w:t>
      </w:r>
    </w:p>
    <w:p>
      <w:pPr>
        <w:pStyle w:val="Normal"/>
        <w:ind w:start="2160" w:end="2160"/>
        <w:jc w:val="both"/>
        <w:rPr/>
      </w:pPr>
      <w:r>
        <w:rPr/>
      </w:r>
    </w:p>
    <w:p>
      <w:pPr>
        <w:pStyle w:val="Heading2"/>
        <w:rPr/>
      </w:pPr>
      <w:r>
        <w:rPr/>
        <w:t>WHEREAS, Customer and Enron Canada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Enron Canada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a U.S. Federal Reserve bank holiday,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color w:val="0000FF"/>
          <w:u w:val="single"/>
        </w:rPr>
        <w:t>Customer’s Guarantor</w:t>
      </w:r>
      <w:r>
        <w:rPr>
          <w:color w:val="0000FF"/>
        </w:rPr>
        <w:t>" means Reliant Energy Resources Corp. or any replacement permitted in accordance with Section 1 of the Guarantee Agreement of even date herewith between Reliant Energy Resources Corp. and Enron Canada.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r>
        <w:rPr>
          <w:color w:val="0000FF"/>
        </w:rPr>
        <w:t>"</w:t>
      </w:r>
      <w:r>
        <w:rPr>
          <w:i/>
          <w:color w:val="0000FF"/>
          <w:u w:val="single"/>
        </w:rPr>
        <w:t>Enron Canada’s Guarantor</w:t>
      </w:r>
      <w:r>
        <w:rPr>
          <w:color w:val="0000FF"/>
        </w:rPr>
        <w:t>" means Enron Corp. or any replacement permitted in accordance with Section 1 of the Guarantee Agreement of even date herewith between Enron Corp. and Customer.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Material Adverse Change</w:t>
      </w:r>
      <w:r>
        <w:rPr>
          <w:color w:val="0000FF"/>
        </w:rPr>
        <w:t>" means (i) with respect to Customer, Customer’s Guarantor shall have long-term debt unsupported by third party credit enhancement that is rated by Standard &amp; Poors below BBB-; or (ii) with respect to Enron Canada, Enron Canada’s Guarantor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and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t>2.1</w:t>
        <w:tab/>
      </w:r>
      <w:r>
        <w:rPr>
          <w:u w:val="single"/>
        </w:rPr>
        <w:t>Term</w:t>
      </w:r>
      <w:r>
        <w:rPr/>
        <w:t>.  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(a) each Transaction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(b) it is a “Qualified Party” within the meaning of paragraph 9.1 of Alberta Securities Commission Order Doc.#394043 and paragraph 1.1 of British Columbia Securities Commission Blanket Order BOR#91-501, in either case, as amended, restated, replaced or re-enacted from time to time, and pursuant to any equivalent order or other enactment made pursuant to the securities laws of Alberta, British Columbia or of any other jurisdictions having application to the Transaction; (iv)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(vi)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Enron Canada,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Enron Canada shall deliver within one hundred twenty (120) Days following the end of each fiscal year of Enron Canada’s Guarantor, a copy of Enron Canada’s Guarantor’s annual report, containing financial statements for such fiscal year certified by independent certified public accountants, and within sixty (60) Days after the end of each of the first three (3) fiscal quarters of each fiscal year of Enron Canada’s Guarantor, a copy of Enron Canada’s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t>4.1</w:t>
        <w:tab/>
      </w:r>
      <w:r>
        <w:rPr>
          <w:u w:val="single"/>
        </w:rPr>
        <w:t>Scope of Agreement</w:t>
      </w:r>
      <w:r>
        <w:rPr/>
        <w:t>.  Customer and Enron Canada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from the time of such verbal agreement,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Enron Canada may confirm a Transaction by sending a Confirmation Letter to Customer.  In such instances, after the Parties have verbally agreed to all terms of a Transaction, Enron Canada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provided however that the oral agreement shall govern unless the Confirmation Letter has been duly executed by both Parties.  </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Electronic Taping</w:t>
      </w:r>
      <w:r>
        <w:rPr/>
        <w:t>.  Each Party consents to the electronic taping by the other Party of all conversations, instructions or agreements, including Transactions hereunder, and each Party agrees that any such tape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10</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$0.05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$0.05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26</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Invoice Date and Charges</w:t>
      </w:r>
      <w:r>
        <w:rPr/>
        <w:t>.</w:t>
      </w:r>
    </w:p>
    <w:p>
      <w:pPr>
        <w:pStyle w:val="Heading2"/>
        <w:rPr/>
      </w:pPr>
      <w:r>
        <w:rPr/>
        <w:t>(a)</w:t>
        <w:tab/>
        <w:t>By the fifteenth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$0.05,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Payment Date</w:t>
      </w:r>
      <w:r>
        <w:rPr/>
        <w:t>.  Subject to a good faith dispute made in accordance with Section 9.4,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presentation of the written statement is delayed after the fifteenth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33</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thirty (30) Days after the discovery of the occurrence of the Triggering Event, to terminate all Transactions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35</w:t>
      </w:r>
      <w:r>
        <w:rPr/>
        <w:fldChar w:fldCharType="end"/>
      </w:r>
      <w:r>
        <w:rPr/>
        <w:tab/>
      </w:r>
      <w:r>
        <w:rPr>
          <w:u w:val="single"/>
        </w:rPr>
        <w:t>Termination Payment</w:t>
      </w:r>
      <w:r>
        <w:rPr/>
        <w:t>.  If, pursuant to Section 10.1, (a) the Notifying Party elects to terminate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(a) the Notifying Party’s reasonable out-of-pocket costs and reasonable counsel fees (estimated, to the extent necessary) related to the determination of the Early Termination Damages and enforcement of the Notifying Party’s rights and remedies with respect thereto or for the collection thereof, plus (b) all amounts owed but not yet paid by the Affected Party (whether or not such amounts are then due) pursuant to any and all Transactions, less (c)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ten (10) Days of receipt of such notice by the Affected Party.</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Enron Canada’s Guarantor (with respect to Enron Canada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 (Canada)</w:t>
      </w:r>
      <w:r>
        <w:rPr/>
        <w:t xml:space="preserve">, the </w:t>
      </w:r>
      <w:r>
        <w:rPr>
          <w:i/>
          <w:u w:val="single"/>
        </w:rPr>
        <w:t>Companies’ Creditors Arrangement Act (Canada)</w:t>
      </w:r>
      <w:r>
        <w:rPr/>
        <w:t xml:space="preserve"> or the </w:t>
      </w:r>
      <w:r>
        <w:rPr>
          <w:i/>
          <w:u w:val="single"/>
        </w:rPr>
        <w:t>Winding-Up and Restructuring Act (Canada)</w:t>
      </w:r>
      <w:r>
        <w:rPr/>
        <w:t xml:space="preserve"> (in any case, as amended, restated, replaced or re-enacted from time to time);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u w:val="single"/>
        </w:rPr>
        <w:t>Bankruptcy and Insolvency Act (Canada)</w:t>
      </w:r>
      <w:r>
        <w:rPr/>
        <w:t xml:space="preserve">, the </w:t>
      </w:r>
      <w:r>
        <w:rPr>
          <w:i/>
          <w:u w:val="single"/>
        </w:rPr>
        <w:t>Companies’ Creditors Arrangement Act (Canada)</w:t>
      </w:r>
      <w:r>
        <w:rPr/>
        <w:t xml:space="preserve"> or the </w:t>
      </w:r>
      <w:r>
        <w:rPr>
          <w:i/>
          <w:u w:val="single"/>
        </w:rPr>
        <w:t>Winding-Up and Restructuring Act (Canada)</w:t>
      </w:r>
      <w:r>
        <w:rPr/>
        <w:t xml:space="preserve">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$50 million</w:t>
      </w:r>
      <w:r>
        <w:rPr/>
        <w:t>; or with respect to Enron Canada, Enron Canada’s Guarantor shall have defaulted on its indebted</w:t>
        <w:softHyphen/>
        <w:t xml:space="preserve">ness to third parties, resulting in an Acceleration of Obligations of Enron Canada’s Guarantor in excess of </w:t>
      </w:r>
      <w:r>
        <w:rPr>
          <w:color w:val="0000FF"/>
        </w:rPr>
        <w:t>U.S. $50 million</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Enron Canada, Enron Canada’s Guarantor fails to perform any covenant set forth in the guarantee agreement it delivered in connection with this Agreement, any representation or warranty made by Enron Canada’s Guarantor in such guarantee agreement shall prove to have been false or misleading in any material respect when made or deemed to have been repeated.</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36</w:t>
      </w:r>
      <w:r>
        <w:rPr/>
        <w:fldChar w:fldCharType="end"/>
      </w:r>
      <w:r>
        <w:rPr>
          <w:rFonts w:eastAsia="Arial"/>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37</w:t>
      </w:r>
      <w:r>
        <w:rPr/>
        <w:fldChar w:fldCharType="end"/>
      </w:r>
      <w:r>
        <w:rPr>
          <w:rFonts w:eastAsia="Arial"/>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counter</w:t>
        <w:softHyphen/>
        <w:t xml:space="preserve">claims and other remedies and defenses which such Party is or may be entitled to arising from or out of this Agreement, at law or in equity.  </w:t>
      </w:r>
    </w:p>
    <w:p>
      <w:pPr>
        <w:pStyle w:val="Justified"/>
        <w:rPr/>
      </w:pPr>
      <w:r>
        <w:rPr/>
        <w:tab/>
        <w:t>10.6.</w:t>
        <w:tab/>
      </w:r>
      <w:r>
        <w:rPr>
          <w:u w:val="single"/>
        </w:rPr>
        <w:t>Security</w:t>
      </w:r>
      <w:r>
        <w:rPr/>
        <w:t xml:space="preserve">. </w:t>
      </w:r>
    </w:p>
    <w:p>
      <w:pPr>
        <w:pStyle w:val="Justified"/>
        <w:rPr/>
      </w:pPr>
      <w:r>
        <w:rPr/>
        <w:tab/>
        <w:t>(a)</w:t>
        <w:tab/>
        <w:t>In order to secure all payment obligations of Enron Canada to Customer hereunder, Enron Canada shall cause Enron Canada’s Guarantor to execute and deliver to Customer the guarantee agreement, substantially in the form attached as Exhibit "C”.</w:t>
      </w:r>
    </w:p>
    <w:p>
      <w:pPr>
        <w:pStyle w:val="Justified"/>
        <w:rPr/>
      </w:pPr>
      <w:r>
        <w:rPr/>
        <w:tab/>
        <w:t>(b)</w:t>
        <w:tab/>
        <w:t>In order to secure all payment obligations of Customer to Enron Canada hereunder, Customer shall cause Customer’s Guarantor to execute and deliver to Enron Canada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w:t>
      </w:r>
      <w:r>
        <w:rPr>
          <w:color w:val="0000FF"/>
        </w:rPr>
        <w:t>U.S.</w:t>
      </w:r>
      <w:r>
        <w:rPr/>
        <w:t xml:space="preserve"> </w:t>
      </w:r>
      <w:r>
        <w:rPr>
          <w:color w:val="0000FF"/>
        </w:rPr>
        <w:t>$5 million</w:t>
      </w:r>
      <w:r>
        <w:rPr/>
        <w:t xml:space="preserve">,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$500,000</w:t>
      </w:r>
      <w:r>
        <w:rPr/>
        <w:t xml:space="preserve"> multiplied by the lowest whole number that yields an amount equal to or greater than the amount by which the Customer’s Exposure Amount exceeds </w:t>
      </w:r>
      <w:r>
        <w:rPr>
          <w:color w:val="0000FF"/>
        </w:rPr>
        <w:t>U.S. $5 million</w:t>
      </w:r>
      <w:r>
        <w:rPr/>
        <w:t>.</w:t>
      </w:r>
    </w:p>
    <w:p>
      <w:pPr>
        <w:pStyle w:val="Heading2"/>
        <w:rPr/>
      </w:pPr>
      <w:r>
        <w:rPr/>
        <w:t>(b)</w:t>
        <w:tab/>
        <w:t>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w:t>
      </w:r>
      <w:r>
        <w:rPr>
          <w:color w:val="0000FF"/>
        </w:rPr>
        <w:t xml:space="preserve"> U.S.</w:t>
      </w:r>
      <w:r>
        <w:rPr/>
        <w:t xml:space="preserve"> </w:t>
      </w:r>
      <w:r>
        <w:rPr>
          <w:color w:val="0000FF"/>
        </w:rPr>
        <w:t>$5 million</w:t>
      </w:r>
      <w:r>
        <w:rPr/>
        <w:t xml:space="preserve">,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two (2) Business Days of the date of such notice.  On a weekly basis, such Letter of Credit or other collateral shall be increased or reduced, as applicable, to the then current Enron Canada’s Collateral Amount.  “Enron Canada’s Collateral Amount” means the product of </w:t>
      </w:r>
      <w:r>
        <w:rPr>
          <w:color w:val="0000FF"/>
        </w:rPr>
        <w:t>U.S.</w:t>
      </w:r>
      <w:r>
        <w:rPr/>
        <w:t xml:space="preserve"> </w:t>
      </w:r>
      <w:r>
        <w:rPr>
          <w:color w:val="0000FF"/>
        </w:rPr>
        <w:t>$500,000</w:t>
      </w:r>
      <w:r>
        <w:rPr/>
        <w:t xml:space="preserve"> multiplied by the lowest whole number that yields an amount equal to or greater than the amount by which Enron Canada’s Exposure Amount exceeds </w:t>
      </w:r>
      <w:r>
        <w:rPr>
          <w:color w:val="0000FF"/>
        </w:rPr>
        <w:t>U.S. $5 million</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40</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(i) transfer, sell, pledge, encumber or assign this Agreement or the accounts, revenues or proceeds hereof in connection with any financing or other financial arrangements, (ii) transfer or assign its interest hereunder to any of its Affiliates, or (iii)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43</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44</w:t>
      </w:r>
      <w:r>
        <w:rPr/>
        <w:fldChar w:fldCharType="end"/>
      </w:r>
      <w:r>
        <w:rPr/>
        <w:br/>
        <w:t>FORCE MAJEURE</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 failing which the Party who has not declared the Force Majeure may elect as Notifying Party, by written notice to the other Party as Affected Party, to terminate all Transactions and this Agreement in accordance with the provisions of Article 10 hereof.</w:t>
      </w:r>
    </w:p>
    <w:p>
      <w:pPr>
        <w:pStyle w:val="Heading2"/>
        <w:rPr/>
      </w:pPr>
      <w:r>
        <w:rPr/>
        <w:fldChar w:fldCharType="begin"/>
      </w:r>
      <w:r>
        <w:rPr/>
        <w:instrText xml:space="preserve"> SEQ AutoNr \* ARABIC </w:instrText>
      </w:r>
      <w:r>
        <w:rPr/>
        <w:fldChar w:fldCharType="separate"/>
      </w:r>
      <w:r>
        <w:rPr/>
        <w:t>46</w:t>
      </w:r>
      <w:r>
        <w:rPr/>
        <w:fldChar w:fldCharType="end"/>
      </w:r>
      <w:r>
        <w:rPr>
          <w:rFonts w:eastAsia="Arial"/>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47</w:t>
      </w:r>
      <w:r>
        <w:rPr/>
        <w:fldChar w:fldCharType="end"/>
      </w:r>
      <w:r>
        <w:rPr>
          <w:rFonts w:eastAsia="Arial"/>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48</w:t>
      </w:r>
      <w:r>
        <w:rPr/>
        <w:fldChar w:fldCharType="end"/>
      </w:r>
      <w:r>
        <w:rPr/>
        <w:br/>
        <w:t>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53</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56</w:t>
      </w:r>
      <w:r>
        <w:rPr/>
        <w:fldChar w:fldCharType="end"/>
      </w:r>
      <w:r>
        <w:rPr/>
        <w:br/>
        <w:t>MISCELLANEOUS</w:t>
      </w:r>
    </w:p>
    <w:p>
      <w:pPr>
        <w:pStyle w:val="Justified"/>
        <w:ind w:firstLine="720" w:end="0"/>
        <w:rPr/>
      </w:pPr>
      <w:r>
        <w:rPr/>
        <w:fldChar w:fldCharType="begin"/>
      </w:r>
      <w:r>
        <w:rPr/>
        <w:instrText xml:space="preserve"> SEQ AutoNr \* ARABIC </w:instrText>
      </w:r>
      <w:r>
        <w:rPr/>
        <w:fldChar w:fldCharType="separate"/>
      </w:r>
      <w:r>
        <w:rPr/>
        <w:t>57</w:t>
      </w:r>
      <w:r>
        <w:rPr/>
        <w:fldChar w:fldCharType="end"/>
      </w:r>
      <w:r>
        <w:rPr/>
        <w:tab/>
      </w:r>
      <w:r>
        <w:rPr>
          <w:u w:val="single"/>
        </w:rPr>
        <w:t>Limitation of Liability and Damages</w:t>
      </w:r>
      <w:r>
        <w:rPr/>
        <w:t xml:space="preserve">.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exemplary, punitive or indirect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Justified"/>
        <w:ind w:firstLine="720" w:end="0"/>
        <w:rPr/>
      </w:pPr>
      <w:r>
        <w:rPr/>
        <w:fldChar w:fldCharType="begin"/>
      </w:r>
      <w:r>
        <w:rPr/>
        <w:instrText xml:space="preserve"> SEQ AutoNr \* ARABIC </w:instrText>
      </w:r>
      <w:r>
        <w:rPr/>
        <w:fldChar w:fldCharType="separate"/>
      </w:r>
      <w:r>
        <w:rPr/>
        <w:t>58</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Justified"/>
        <w:ind w:firstLine="720" w:end="0"/>
        <w:rPr/>
      </w:pPr>
      <w:r>
        <w:rPr/>
        <w:fldChar w:fldCharType="begin"/>
      </w:r>
      <w:r>
        <w:rPr/>
        <w:instrText xml:space="preserve"> SEQ AutoNr \* ARABIC </w:instrText>
      </w:r>
      <w:r>
        <w:rPr/>
        <w:fldChar w:fldCharType="separate"/>
      </w:r>
      <w:r>
        <w:rPr/>
        <w:t>59</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Justified"/>
        <w:ind w:firstLine="720" w:end="0"/>
        <w:rPr/>
      </w:pPr>
      <w:r>
        <w:rPr/>
        <w:fldChar w:fldCharType="begin"/>
      </w:r>
      <w:r>
        <w:rPr/>
        <w:instrText xml:space="preserve"> SEQ AutoNr \* ARABIC </w:instrText>
      </w:r>
      <w:r>
        <w:rPr/>
        <w:fldChar w:fldCharType="separate"/>
      </w:r>
      <w:r>
        <w:rPr/>
        <w:t>60</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r>
        <w:rPr/>
        <w:fldChar w:fldCharType="begin"/>
      </w:r>
      <w:r>
        <w:rPr/>
        <w:instrText xml:space="preserve"> SEQ AutoNr \* ARABIC </w:instrText>
      </w:r>
      <w:r>
        <w:rPr/>
        <w:fldChar w:fldCharType="separate"/>
      </w:r>
      <w:r>
        <w:rPr/>
        <w:t>61</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Justified"/>
        <w:ind w:firstLine="720" w:end="0"/>
        <w:rPr/>
      </w:pPr>
      <w:r>
        <w:rPr/>
        <w:fldChar w:fldCharType="begin"/>
      </w:r>
      <w:r>
        <w:rPr/>
        <w:instrText xml:space="preserve"> SEQ AutoNr \* ARABIC </w:instrText>
      </w:r>
      <w:r>
        <w:rPr/>
        <w:fldChar w:fldCharType="separate"/>
      </w:r>
      <w:r>
        <w:rPr/>
        <w:t>62</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Justified"/>
        <w:ind w:firstLine="720" w:end="0"/>
        <w:rPr/>
      </w:pPr>
      <w:r>
        <w:rPr/>
        <w:fldChar w:fldCharType="begin"/>
      </w:r>
      <w:r>
        <w:rPr/>
        <w:instrText xml:space="preserve"> SEQ AutoNr \* ARABIC </w:instrText>
      </w:r>
      <w:r>
        <w:rPr/>
        <w:fldChar w:fldCharType="separate"/>
      </w:r>
      <w:r>
        <w:rPr/>
        <w:t>63</w:t>
      </w:r>
      <w:r>
        <w:rPr/>
        <w:fldChar w:fldCharType="end"/>
      </w:r>
      <w:r>
        <w:rPr/>
        <w:tab/>
      </w:r>
      <w:r>
        <w:rPr>
          <w:u w:val="single"/>
        </w:rPr>
        <w:t>Exclusion of Third Party Rights</w:t>
      </w:r>
      <w:r>
        <w:rPr/>
        <w:t xml:space="preserve">.  The provisions of this Agreement shall not impart rights enforceable by any person, firm or organization not either a Party to this Agreement or a successor or permitted assignee of a Party.  </w:t>
      </w:r>
    </w:p>
    <w:p>
      <w:pPr>
        <w:pStyle w:val="Justified"/>
        <w:ind w:firstLine="720" w:end="0"/>
        <w:rPr/>
      </w:pPr>
      <w:r>
        <w:rPr/>
        <w:fldChar w:fldCharType="begin"/>
      </w:r>
      <w:r>
        <w:rPr/>
        <w:instrText xml:space="preserve"> SEQ AutoNr \* ARABIC </w:instrText>
      </w:r>
      <w:r>
        <w:rPr/>
        <w:fldChar w:fldCharType="separate"/>
      </w:r>
      <w:r>
        <w:rPr/>
        <w:t>64</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Justified"/>
        <w:ind w:firstLine="720" w:end="0"/>
        <w:rPr/>
      </w:pPr>
      <w:r>
        <w:rPr/>
        <w:fldChar w:fldCharType="begin"/>
      </w:r>
      <w:r>
        <w:rPr/>
        <w:instrText xml:space="preserve"> SEQ AutoNr \* ARABIC </w:instrText>
      </w:r>
      <w:r>
        <w:rPr/>
        <w:fldChar w:fldCharType="separate"/>
      </w:r>
      <w:r>
        <w:rPr/>
        <w:t>65</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Justified"/>
        <w:ind w:firstLine="720" w:end="0"/>
        <w:rPr/>
      </w:pPr>
      <w:r>
        <w:rPr/>
        <w:fldChar w:fldCharType="begin"/>
      </w:r>
      <w:r>
        <w:rPr/>
        <w:instrText xml:space="preserve"> SEQ AutoNr \* ARABIC </w:instrText>
      </w:r>
      <w:r>
        <w:rPr/>
        <w:fldChar w:fldCharType="separate"/>
      </w:r>
      <w:r>
        <w:rPr/>
        <w:t>66</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Justified"/>
        <w:ind w:firstLine="720" w:end="0"/>
        <w:rPr/>
      </w:pPr>
      <w:r>
        <w:rPr/>
        <w:fldChar w:fldCharType="begin"/>
      </w:r>
      <w:r>
        <w:rPr/>
        <w:instrText xml:space="preserve"> SEQ AutoNr \* ARABIC </w:instrText>
      </w:r>
      <w:r>
        <w:rPr/>
        <w:fldChar w:fldCharType="separate"/>
      </w:r>
      <w:r>
        <w:rPr/>
        <w:t>67</w:t>
      </w:r>
      <w:r>
        <w:rPr/>
        <w:fldChar w:fldCharType="end"/>
      </w:r>
      <w:r>
        <w:rPr/>
        <w:tab/>
      </w:r>
      <w:r>
        <w:rPr>
          <w:u w:val="single"/>
        </w:rPr>
        <w:t>Confidentiality</w:t>
      </w:r>
      <w:r>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  Notwithstanding this Section 17.11, either Party may, without specifically identifying the other Party, disclose price, term, quantity and Delivery Point relating to Transactions to the trade press for reporting purposes.</w:t>
      </w:r>
    </w:p>
    <w:p>
      <w:pPr>
        <w:pStyle w:val="Justified"/>
        <w:ind w:firstLine="720" w:end="0"/>
        <w:rPr/>
      </w:pPr>
      <w:r>
        <w:rPr/>
        <w:fldChar w:fldCharType="begin"/>
      </w:r>
      <w:r>
        <w:rPr/>
        <w:instrText xml:space="preserve"> SEQ AutoNr \* ARABIC </w:instrText>
      </w:r>
      <w:r>
        <w:rPr/>
        <w:fldChar w:fldCharType="separate"/>
      </w:r>
      <w:r>
        <w:rPr/>
        <w:t>68</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Heading2"/>
        <w:rPr/>
      </w:pPr>
      <w:r>
        <w:rPr/>
        <w:t>17.13.</w:t>
        <w:tab/>
      </w:r>
      <w:r>
        <w:rPr>
          <w:u w:val="single"/>
        </w:rPr>
        <w:t>Eligible Financial Contract</w:t>
      </w:r>
      <w:r>
        <w:rPr/>
        <w:t xml:space="preserve">.  This Agreement, all Transactions under this Agreement, and any guarantee thereof by Customer’s Guarantor or Enron Canada’s Guarantor, as applicable, each and together constitute an “eligible financial contract” under and in all proceedings related to the </w:t>
      </w:r>
      <w:r>
        <w:rPr>
          <w:i/>
          <w:u w:val="single"/>
        </w:rPr>
        <w:t>Bankruptcy and Insolvency Act (Canada)</w:t>
      </w:r>
      <w:r>
        <w:rPr>
          <w:i/>
        </w:rPr>
        <w:t>,</w:t>
      </w:r>
      <w:r>
        <w:rPr/>
        <w:t xml:space="preserve"> the</w:t>
      </w:r>
      <w:r>
        <w:rPr>
          <w:i/>
        </w:rPr>
        <w:t xml:space="preserve"> </w:t>
      </w:r>
      <w:r>
        <w:rPr>
          <w:i/>
          <w:u w:val="single"/>
        </w:rPr>
        <w:t>Companies’ Creditors Arrangement Act (Canada)</w:t>
      </w:r>
      <w:r>
        <w:rPr>
          <w:i/>
        </w:rPr>
        <w:t xml:space="preserve"> </w:t>
      </w:r>
      <w:r>
        <w:rPr/>
        <w:t xml:space="preserve">or the </w:t>
      </w:r>
      <w:r>
        <w:rPr>
          <w:i/>
          <w:u w:val="single"/>
        </w:rPr>
        <w:t>Winding-Up and Restructuring Act (Canada)</w:t>
      </w:r>
      <w:r>
        <w:rPr/>
        <w:t>,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Heading2"/>
        <w:rPr/>
      </w:pPr>
      <w:r>
        <w:rPr/>
        <w:t>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CANADA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tcBorders>
          </w:tcPr>
          <w:p>
            <w:pPr>
              <w:pStyle w:val="Justified"/>
              <w:spacing w:before="0" w:after="0"/>
              <w:rPr/>
            </w:pPr>
            <w:r>
              <w:rPr/>
              <w:t>Rob Milnthorp</w:t>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tcPr>
          <w:p>
            <w:pPr>
              <w:pStyle w:val="Normal"/>
              <w:jc w:val="both"/>
              <w:rPr>
                <w:color w:val="0000FF"/>
              </w:rPr>
            </w:pPr>
            <w:r>
              <w:rPr>
                <w:color w:val="0000FF"/>
              </w:rPr>
              <w:t>Vice President</w:t>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r>
              <w:rPr>
                <w:b/>
                <w:caps/>
              </w:rPr>
              <w:t>RELIANT ENERGY SERVICES CANADA, LTD.</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EXHIBIT "A" TO MASTER FIRM GAS PURCHASE/SALE AGREEMENT BETWEEN ENRON CANADA CORP. AND RELIANT ENERGY SERVICES</w:t>
      </w:r>
    </w:p>
    <w:p>
      <w:pPr>
        <w:pStyle w:val="Normal"/>
        <w:ind w:start="720" w:end="720"/>
        <w:jc w:val="center"/>
        <w:rPr/>
      </w:pPr>
      <w:r>
        <w:rPr>
          <w:b/>
          <w:caps/>
        </w:rPr>
        <w:t xml:space="preserve">CANADA, LTD. DATED SEPTEMBER 15, </w:t>
      </w:r>
      <w:r>
        <w:rPr>
          <w:b/>
          <w:caps/>
          <w:color w:val="0000FF"/>
        </w:rPr>
        <w:t>1999</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ENRON CANADA:</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b/>
              </w:rPr>
            </w:pPr>
            <w:r>
              <w:rPr/>
              <w:t>Enron Canada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Reliant Energy Services Canada, Ltd.</w:t>
            </w:r>
          </w:p>
        </w:tc>
      </w:tr>
      <w:tr>
        <w:trPr/>
        <w:tc>
          <w:tcPr>
            <w:tcW w:w="4767" w:type="dxa"/>
            <w:tcBorders/>
          </w:tcPr>
          <w:p>
            <w:pPr>
              <w:pStyle w:val="Normal"/>
              <w:tabs>
                <w:tab w:val="clear" w:pos="720"/>
                <w:tab w:val="center" w:pos="4680" w:leader="none"/>
              </w:tabs>
              <w:jc w:val="both"/>
              <w:rPr>
                <w:b/>
              </w:rPr>
            </w:pPr>
            <w:r>
              <w:rPr/>
              <w:t>Suite 3500, Canterra Tower</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color w:val="0000FF"/>
              </w:rPr>
              <w:t>8</w:t>
            </w:r>
            <w:r>
              <w:rPr>
                <w:color w:val="0000FF"/>
                <w:vertAlign w:val="superscript"/>
              </w:rPr>
              <w:t>th</w:t>
            </w:r>
            <w:r>
              <w:rPr>
                <w:color w:val="0000FF"/>
              </w:rPr>
              <w:t xml:space="preserve"> Floor, 1111 Louisiana St.</w:t>
            </w:r>
          </w:p>
        </w:tc>
      </w:tr>
      <w:tr>
        <w:trPr/>
        <w:tc>
          <w:tcPr>
            <w:tcW w:w="4767" w:type="dxa"/>
            <w:tcBorders/>
          </w:tcPr>
          <w:p>
            <w:pPr>
              <w:pStyle w:val="Normal"/>
              <w:tabs>
                <w:tab w:val="clear" w:pos="720"/>
                <w:tab w:val="center" w:pos="4680" w:leader="none"/>
              </w:tabs>
              <w:jc w:val="both"/>
              <w:rPr>
                <w:b/>
              </w:rPr>
            </w:pPr>
            <w:r>
              <w:rPr/>
              <w:t xml:space="preserve">400 - 3rd Avenue S.W. </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Houston, Texas</w:t>
            </w:r>
          </w:p>
        </w:tc>
      </w:tr>
      <w:tr>
        <w:trPr/>
        <w:tc>
          <w:tcPr>
            <w:tcW w:w="4767" w:type="dxa"/>
            <w:tcBorders/>
          </w:tcPr>
          <w:p>
            <w:pPr>
              <w:pStyle w:val="Normal"/>
              <w:tabs>
                <w:tab w:val="clear" w:pos="720"/>
                <w:tab w:val="center" w:pos="4680" w:leader="none"/>
              </w:tabs>
              <w:jc w:val="both"/>
              <w:rPr>
                <w:b/>
              </w:rPr>
            </w:pPr>
            <w:r>
              <w:rPr/>
              <w:t>Calgary, Alberta  T2P 4H2</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USA     77002</w:t>
            </w:r>
          </w:p>
        </w:tc>
      </w:tr>
      <w:tr>
        <w:trPr/>
        <w:tc>
          <w:tcPr>
            <w:tcW w:w="4767" w:type="dxa"/>
            <w:tcBorders/>
          </w:tcPr>
          <w:p>
            <w:pPr>
              <w:pStyle w:val="Normal"/>
              <w:tabs>
                <w:tab w:val="clear" w:pos="720"/>
                <w:tab w:val="center" w:pos="4680" w:leader="none"/>
              </w:tabs>
              <w:jc w:val="both"/>
              <w:rPr>
                <w:b/>
              </w:rPr>
            </w:pPr>
            <w:r>
              <w:rPr/>
              <w:t>Attn:  Corporate Secretary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 Contract Admin.</w:t>
            </w:r>
          </w:p>
        </w:tc>
      </w:tr>
      <w:tr>
        <w:trPr/>
        <w:tc>
          <w:tcPr>
            <w:tcW w:w="4767" w:type="dxa"/>
            <w:tcBorders/>
          </w:tcPr>
          <w:p>
            <w:pPr>
              <w:pStyle w:val="Normal"/>
              <w:tabs>
                <w:tab w:val="clear" w:pos="720"/>
                <w:tab w:val="center" w:pos="4680" w:leader="none"/>
              </w:tabs>
              <w:jc w:val="both"/>
              <w:rPr>
                <w:b/>
              </w:rPr>
            </w:pPr>
            <w:r>
              <w:rPr/>
              <w:t>Facsimile No. (403) 974-6707</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Facsimile No.:  713-207-9663</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ENRON CANADA:</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Normal"/>
              <w:tabs>
                <w:tab w:val="clear" w:pos="720"/>
                <w:tab w:val="center" w:pos="4680" w:leader="none"/>
              </w:tabs>
              <w:jc w:val="both"/>
              <w:rPr>
                <w:b/>
              </w:rPr>
            </w:pPr>
            <w:r>
              <w:rPr/>
              <w:t>The Toronto-Dominion Bank</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Beneficiary:</w:t>
            </w:r>
          </w:p>
        </w:tc>
      </w:tr>
      <w:tr>
        <w:trPr/>
        <w:tc>
          <w:tcPr>
            <w:tcW w:w="4767" w:type="dxa"/>
            <w:tcBorders/>
          </w:tcPr>
          <w:p>
            <w:pPr>
              <w:pStyle w:val="Normal"/>
              <w:tabs>
                <w:tab w:val="clear" w:pos="720"/>
                <w:tab w:val="center" w:pos="4680" w:leader="none"/>
              </w:tabs>
              <w:jc w:val="both"/>
              <w:rPr/>
            </w:pPr>
            <w:r>
              <w:rPr/>
              <w:t>Commercial Banking Centre</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Reliant Energy Services Canada, Ltd.</w:t>
            </w:r>
          </w:p>
        </w:tc>
      </w:tr>
      <w:tr>
        <w:trPr/>
        <w:tc>
          <w:tcPr>
            <w:tcW w:w="4767" w:type="dxa"/>
            <w:tcBorders/>
          </w:tcPr>
          <w:p>
            <w:pPr>
              <w:pStyle w:val="Normal"/>
              <w:tabs>
                <w:tab w:val="clear" w:pos="720"/>
                <w:tab w:val="center" w:pos="4680" w:leader="none"/>
              </w:tabs>
              <w:jc w:val="both"/>
              <w:rPr/>
            </w:pPr>
            <w:r>
              <w:rPr/>
              <w:t>2 Calgary Place, 340 - 5th Avenue S.W.</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855 2</w:t>
            </w:r>
            <w:r>
              <w:rPr>
                <w:vertAlign w:val="superscript"/>
              </w:rPr>
              <w:t>nd</w:t>
            </w:r>
            <w:r>
              <w:rPr/>
              <w:t xml:space="preserve"> Street South West</w:t>
            </w:r>
          </w:p>
        </w:tc>
      </w:tr>
      <w:tr>
        <w:trPr/>
        <w:tc>
          <w:tcPr>
            <w:tcW w:w="4767" w:type="dxa"/>
            <w:tcBorders/>
          </w:tcPr>
          <w:p>
            <w:pPr>
              <w:pStyle w:val="Normal"/>
              <w:tabs>
                <w:tab w:val="clear" w:pos="720"/>
                <w:tab w:val="center" w:pos="4680" w:leader="none"/>
              </w:tabs>
              <w:jc w:val="both"/>
              <w:rPr>
                <w:b/>
              </w:rPr>
            </w:pPr>
            <w:r>
              <w:rPr/>
              <w:t>Calgary, Alberta  T2P 4H2</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jc w:val="both"/>
              <w:rPr>
                <w:b/>
              </w:rPr>
            </w:pPr>
            <w:r>
              <w:rPr/>
              <w:t>Bank #004 Branch #80609</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00009               Branch # 010</w:t>
            </w:r>
          </w:p>
        </w:tc>
      </w:tr>
      <w:tr>
        <w:trPr/>
        <w:tc>
          <w:tcPr>
            <w:tcW w:w="4767" w:type="dxa"/>
            <w:tcBorders/>
          </w:tcPr>
          <w:p>
            <w:pPr>
              <w:pStyle w:val="Normal"/>
              <w:tabs>
                <w:tab w:val="clear" w:pos="720"/>
                <w:tab w:val="center" w:pos="4680" w:leader="none"/>
              </w:tabs>
              <w:jc w:val="both"/>
              <w:rPr>
                <w:b/>
              </w:rPr>
            </w:pPr>
            <w:r>
              <w:rPr/>
              <w:t>Account No. 0805 0465537</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 68-14816</w:t>
            </w:r>
          </w:p>
        </w:tc>
      </w:tr>
      <w:tr>
        <w:trPr/>
        <w:tc>
          <w:tcPr>
            <w:tcW w:w="4767" w:type="dxa"/>
            <w:tcBorders/>
          </w:tcPr>
          <w:p>
            <w:pPr>
              <w:pStyle w:val="Normal"/>
              <w:tabs>
                <w:tab w:val="clear" w:pos="720"/>
                <w:tab w:val="center" w:pos="4680" w:leader="none"/>
              </w:tabs>
              <w:jc w:val="both"/>
              <w:rPr>
                <w:b/>
              </w:rPr>
            </w:pPr>
            <w:r>
              <w:rPr/>
              <w:t>Telephone:  (403) 292-1100</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jc w:val="both"/>
              <w:rPr>
                <w:b/>
              </w:rPr>
            </w:pPr>
            <w:r>
              <w:rPr/>
              <w:t>Rapifax:  (403) 292-1217</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ENRON CANADA:</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Canada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Reliant Energy Services Canada, Ltd.</w:t>
            </w:r>
          </w:p>
        </w:tc>
      </w:tr>
      <w:tr>
        <w:trPr/>
        <w:tc>
          <w:tcPr>
            <w:tcW w:w="4767" w:type="dxa"/>
            <w:tcBorders/>
          </w:tcPr>
          <w:p>
            <w:pPr>
              <w:pStyle w:val="Normal"/>
              <w:tabs>
                <w:tab w:val="clear" w:pos="720"/>
                <w:tab w:val="center" w:pos="4680" w:leader="none"/>
              </w:tabs>
              <w:jc w:val="both"/>
              <w:rPr>
                <w:b/>
              </w:rPr>
            </w:pPr>
            <w:r>
              <w:rPr/>
              <w:t>Suite 3500, Canterra Tower</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8</w:t>
            </w:r>
            <w:r>
              <w:rPr>
                <w:vertAlign w:val="superscript"/>
              </w:rPr>
              <w:t>th</w:t>
            </w:r>
            <w:r>
              <w:rPr/>
              <w:t xml:space="preserve"> Floor, 1111 Louisiana St.</w:t>
            </w:r>
          </w:p>
        </w:tc>
      </w:tr>
      <w:tr>
        <w:trPr/>
        <w:tc>
          <w:tcPr>
            <w:tcW w:w="4767" w:type="dxa"/>
            <w:tcBorders/>
          </w:tcPr>
          <w:p>
            <w:pPr>
              <w:pStyle w:val="Normal"/>
              <w:tabs>
                <w:tab w:val="clear" w:pos="720"/>
                <w:tab w:val="center" w:pos="4680" w:leader="none"/>
              </w:tabs>
              <w:jc w:val="both"/>
              <w:rPr>
                <w:b/>
              </w:rPr>
            </w:pPr>
            <w:r>
              <w:rPr/>
              <w:t>400 - 3rd Avenue S.W.</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Houston, Texas</w:t>
            </w:r>
          </w:p>
        </w:tc>
      </w:tr>
      <w:tr>
        <w:trPr/>
        <w:tc>
          <w:tcPr>
            <w:tcW w:w="4767" w:type="dxa"/>
            <w:tcBorders/>
          </w:tcPr>
          <w:p>
            <w:pPr>
              <w:pStyle w:val="Normal"/>
              <w:tabs>
                <w:tab w:val="clear" w:pos="720"/>
                <w:tab w:val="center" w:pos="4680" w:leader="none"/>
              </w:tabs>
              <w:jc w:val="both"/>
              <w:rPr/>
            </w:pPr>
            <w:r>
              <w:rPr/>
              <w:t>Calgary, Alberta  T2P 4H2</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jc w:val="both"/>
              <w:rPr/>
            </w:pPr>
            <w:r>
              <w:rPr/>
              <w:t>USA     77002</w:t>
            </w:r>
          </w:p>
        </w:tc>
      </w:tr>
      <w:tr>
        <w:trPr/>
        <w:tc>
          <w:tcPr>
            <w:tcW w:w="4767" w:type="dxa"/>
            <w:tcBorders/>
          </w:tcPr>
          <w:p>
            <w:pPr>
              <w:pStyle w:val="Normal"/>
              <w:tabs>
                <w:tab w:val="clear" w:pos="720"/>
                <w:tab w:val="center" w:pos="4680" w:leader="none"/>
              </w:tabs>
              <w:jc w:val="both"/>
              <w:rPr>
                <w:b/>
              </w:rPr>
            </w:pPr>
            <w:r>
              <w:rPr/>
              <w:t>Attn: Manager,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  Accounting</w:t>
            </w:r>
          </w:p>
        </w:tc>
      </w:tr>
      <w:tr>
        <w:trPr/>
        <w:tc>
          <w:tcPr>
            <w:tcW w:w="4767" w:type="dxa"/>
            <w:tcBorders/>
          </w:tcPr>
          <w:p>
            <w:pPr>
              <w:pStyle w:val="Normal"/>
              <w:tabs>
                <w:tab w:val="clear" w:pos="720"/>
                <w:tab w:val="center" w:pos="4680" w:leader="none"/>
              </w:tabs>
              <w:jc w:val="both"/>
              <w:rPr>
                <w:b/>
              </w:rPr>
            </w:pPr>
            <w:r>
              <w:rPr/>
              <w:t>Facsimile No. (403) 974-6795</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Facsimile No.:  713-207-9663</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 AND CONFIRMATIONS TO ENRON CANADA:</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  Contract Administration</w:t>
            </w:r>
          </w:p>
        </w:tc>
      </w:tr>
      <w:tr>
        <w:trPr/>
        <w:tc>
          <w:tcPr>
            <w:tcW w:w="4767" w:type="dxa"/>
            <w:tcBorders/>
          </w:tcPr>
          <w:p>
            <w:pPr>
              <w:pStyle w:val="Normal"/>
              <w:tabs>
                <w:tab w:val="clear" w:pos="720"/>
                <w:tab w:val="center" w:pos="4680" w:leader="none"/>
              </w:tabs>
              <w:jc w:val="both"/>
              <w:rPr>
                <w:b/>
              </w:rPr>
            </w:pPr>
            <w:r>
              <w:rPr/>
              <w:t>Facsimile No. (403) 974-6706</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Facsimile No.  (713) 207-9663</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b/>
          <w:caps/>
        </w:rPr>
      </w:pPr>
      <w:r>
        <w:rPr>
          <w:b/>
          <w:caps/>
        </w:rPr>
        <w:t>EXHIBIT "B" TO MASTER FIRM GAS PURCHASE/SALE AGREEMENT BETWEEN ENRON CANADA CORP. AND RELIANT ENERGY SERVICES</w:t>
      </w:r>
    </w:p>
    <w:p>
      <w:pPr>
        <w:pStyle w:val="Normal"/>
        <w:ind w:start="720" w:end="720"/>
        <w:jc w:val="center"/>
        <w:rPr/>
      </w:pPr>
      <w:r>
        <w:rPr>
          <w:b/>
          <w:caps/>
        </w:rPr>
        <w:t xml:space="preserve">CANADA, LTD. DATED SEPTEMBER 15, </w:t>
      </w:r>
      <w:r>
        <w:rPr>
          <w:b/>
          <w:caps/>
          <w:color w:val="0000FF"/>
        </w:rPr>
        <w:t>1999</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Reliant Energy Services Canada, Ltd.</w:t>
      </w:r>
    </w:p>
    <w:p>
      <w:pPr>
        <w:pStyle w:val="Normal"/>
        <w:tabs>
          <w:tab w:val="clear" w:pos="720"/>
          <w:tab w:val="left" w:pos="1440" w:leader="none"/>
          <w:tab w:val="left" w:pos="2160" w:leader="none"/>
          <w:tab w:val="left" w:pos="5280" w:leader="none"/>
          <w:tab w:val="left" w:pos="5472" w:leader="none"/>
          <w:tab w:val="left" w:pos="6480" w:leader="none"/>
        </w:tabs>
        <w:jc w:val="both"/>
        <w:rPr/>
      </w:pPr>
      <w:r>
        <w:rPr>
          <w:color w:val="0000FF"/>
        </w:rPr>
        <w:t>8</w:t>
      </w:r>
      <w:r>
        <w:rPr>
          <w:color w:val="0000FF"/>
          <w:vertAlign w:val="superscript"/>
        </w:rPr>
        <w:t>th</w:t>
      </w:r>
      <w:r>
        <w:rPr>
          <w:color w:val="0000FF"/>
        </w:rPr>
        <w:t xml:space="preserve"> Floor, 1111 Louisiana St.</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Houston, Texas   77002</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Confirmation Letter confirms the verbal agreement reached on ______________, 199__ (the “Effective Time”), between Reliant Energy Services Canada, Ltd. ("Customer") and Enron Canada Corp. ("Enron Canada")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September 15, </w:t>
      </w:r>
      <w:r>
        <w:rPr>
          <w:color w:val="0000FF"/>
        </w:rPr>
        <w:t>1999</w:t>
      </w:r>
      <w:r>
        <w:rPr/>
        <w:t xml:space="preserve"> (the “Master Agreement”), between Customer and Enron Canada,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op w:val="single" w:sz="6" w:space="0" w:color="000000"/>
              <w:bottom w:val="single" w:sz="2"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RELIANT ENERGY SERVICES CANADA,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ind w:start="720" w:end="720"/>
        <w:jc w:val="center"/>
        <w:rPr>
          <w:b/>
          <w:caps/>
        </w:rPr>
      </w:pPr>
      <w:r>
        <w:rPr>
          <w:b/>
          <w:caps/>
        </w:rPr>
        <w:t>EXHIBIT "C" TO MASTER FIRM GAS PURCHASE/SALE AGREEMENT BETWEEN ENRON CANADA CORP. AND RELIANT ENERGY SERVICES</w:t>
      </w:r>
    </w:p>
    <w:p>
      <w:pPr>
        <w:pStyle w:val="Normal"/>
        <w:ind w:start="720" w:end="720"/>
        <w:jc w:val="center"/>
        <w:rPr>
          <w:b/>
          <w:caps/>
        </w:rPr>
      </w:pPr>
      <w:r>
        <w:rPr>
          <w:b/>
          <w:caps/>
        </w:rPr>
        <w:t xml:space="preserve">CANADA, LTD. DATED SEPTEMBER 15, </w:t>
      </w:r>
      <w:r>
        <w:rPr>
          <w:b/>
          <w:caps/>
          <w:color w:val="0000FF"/>
        </w:rPr>
        <w:t>1999</w:t>
      </w:r>
    </w:p>
    <w:p>
      <w:pPr>
        <w:pStyle w:val="Normal"/>
        <w:jc w:val="center"/>
        <w:rPr>
          <w:b/>
          <w:caps/>
        </w:rPr>
      </w:pPr>
      <w:r>
        <w:rPr>
          <w:b/>
          <w:caps/>
        </w:rPr>
      </w:r>
    </w:p>
    <w:p>
      <w:pPr>
        <w:pStyle w:val="Normal"/>
        <w:jc w:val="center"/>
        <w:rPr>
          <w:u w:val="single"/>
        </w:rPr>
      </w:pPr>
      <w:r>
        <w:rPr>
          <w:u w:val="single"/>
        </w:rPr>
        <w:t>CONFIDENTIAL GUARANTEE AGREEMENT</w:t>
      </w:r>
    </w:p>
    <w:p>
      <w:pPr>
        <w:pStyle w:val="Normal"/>
        <w:jc w:val="center"/>
        <w:rPr/>
      </w:pPr>
      <w:r>
        <w:rPr/>
      </w:r>
    </w:p>
    <w:p>
      <w:pPr>
        <w:pStyle w:val="Heading2"/>
        <w:rPr/>
      </w:pPr>
      <w:r>
        <w:rPr/>
        <w:t>This Guarantee Agreement (this "</w:t>
      </w:r>
      <w:r>
        <w:rPr>
          <w:u w:val="single"/>
        </w:rPr>
        <w:t>Guarantee</w:t>
      </w:r>
      <w:r>
        <w:rPr/>
        <w:t xml:space="preserve">"), dated as of September 15, </w:t>
      </w:r>
      <w:r>
        <w:rPr>
          <w:color w:val="0000FF"/>
        </w:rPr>
        <w:t>1999,</w:t>
      </w:r>
      <w:r>
        <w:rPr/>
        <w:t xml:space="preserve"> is made and entered into between Enron Corp., an Oregon corporation ("</w:t>
      </w:r>
      <w:r>
        <w:rPr>
          <w:u w:val="single"/>
        </w:rPr>
        <w:t>Guarantor</w:t>
      </w:r>
      <w:r>
        <w:rPr/>
        <w:t xml:space="preserve">"), and Reliant Energy Services Canada, Ltd., </w:t>
      </w:r>
      <w:r>
        <w:rPr>
          <w:color w:val="0000FF"/>
        </w:rPr>
        <w:t>an Alberta corporation</w:t>
      </w:r>
      <w:r>
        <w:rPr/>
        <w:t xml:space="preserve"> ("</w:t>
      </w:r>
      <w:r>
        <w:rPr>
          <w:u w:val="single"/>
        </w:rPr>
        <w:t>Contract Party</w:t>
      </w:r>
      <w:r>
        <w:rPr/>
        <w:t>").</w:t>
      </w:r>
    </w:p>
    <w:p>
      <w:pPr>
        <w:pStyle w:val="Justified"/>
        <w:rPr/>
      </w:pPr>
      <w:r>
        <w:rPr/>
      </w:r>
    </w:p>
    <w:p>
      <w:pPr>
        <w:pStyle w:val="Heading2"/>
        <w:rPr/>
      </w:pPr>
      <w:r>
        <w:rPr/>
        <w:t>WHEREAS, (i) Contract Party and Enron Canada Corp., a wholly owned indirect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Gas Contract that ever shall be required to be paid by Guarantor shall not exceed </w:t>
      </w:r>
      <w:r>
        <w:rPr>
          <w:color w:val="0000FF"/>
        </w:rPr>
        <w:t>U.S. $10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pPr>
      <w:r>
        <w:rPr/>
        <w:t>Enron Corp.</w:t>
      </w:r>
    </w:p>
    <w:p>
      <w:pPr>
        <w:pStyle w:val="Normal"/>
        <w:ind w:hanging="360" w:start="360" w:end="0"/>
        <w:jc w:val="both"/>
        <w:rPr/>
      </w:pPr>
      <w:r>
        <w:rPr/>
        <w:t>1400 Smith Street</w:t>
      </w:r>
    </w:p>
    <w:p>
      <w:pPr>
        <w:pStyle w:val="Normal"/>
        <w:ind w:hanging="360" w:start="360" w:end="0"/>
        <w:jc w:val="both"/>
        <w:rPr/>
      </w:pPr>
      <w:r>
        <w:rPr/>
        <w:t>Houston, Texas  77251</w:t>
      </w:r>
    </w:p>
    <w:p>
      <w:pPr>
        <w:pStyle w:val="Normal"/>
        <w:ind w:hanging="360" w:start="360" w:end="0"/>
        <w:jc w:val="both"/>
        <w:rPr/>
      </w:pPr>
      <w:r>
        <w:rPr/>
        <w:t>Attention:  Vice President, Finance and Treasurer</w:t>
      </w:r>
    </w:p>
    <w:p>
      <w:pPr>
        <w:pStyle w:val="Normal"/>
        <w:ind w:hanging="360" w:start="360" w:end="0"/>
        <w:jc w:val="both"/>
        <w:rPr>
          <w:u w:val="single"/>
        </w:rPr>
      </w:pPr>
      <w:r>
        <w:rPr/>
        <w:t>Facsimile:  (713) 853-3920</w:t>
      </w:r>
    </w:p>
    <w:p>
      <w:pPr>
        <w:pStyle w:val="Normal"/>
        <w:ind w:hanging="360" w:start="360" w:end="0"/>
        <w:jc w:val="both"/>
        <w:rPr>
          <w:u w:val="single"/>
        </w:rPr>
      </w:pPr>
      <w:r>
        <w:rPr>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color w:val="0000FF"/>
        </w:rPr>
      </w:pPr>
      <w:r>
        <w:rPr>
          <w:color w:val="0000FF"/>
        </w:rPr>
        <w:t>Reliant Energy Services Canada, Ltd.</w:t>
      </w:r>
    </w:p>
    <w:p>
      <w:pPr>
        <w:pStyle w:val="Normal"/>
        <w:ind w:hanging="360" w:start="360" w:end="0"/>
        <w:jc w:val="both"/>
        <w:rPr/>
      </w:pPr>
      <w:r>
        <w:rPr>
          <w:color w:val="0000FF"/>
        </w:rPr>
        <w:t>8</w:t>
      </w:r>
      <w:r>
        <w:rPr>
          <w:color w:val="0000FF"/>
          <w:vertAlign w:val="superscript"/>
        </w:rPr>
        <w:t>th</w:t>
      </w:r>
      <w:r>
        <w:rPr>
          <w:color w:val="0000FF"/>
        </w:rPr>
        <w:t xml:space="preserve"> Floor, 1111 Louisiana St.</w:t>
      </w:r>
    </w:p>
    <w:p>
      <w:pPr>
        <w:pStyle w:val="Normal"/>
        <w:ind w:hanging="360" w:start="360" w:end="0"/>
        <w:jc w:val="both"/>
        <w:rPr>
          <w:color w:val="0000FF"/>
          <w:u w:val="single"/>
        </w:rPr>
      </w:pPr>
      <w:r>
        <w:rPr>
          <w:color w:val="0000FF"/>
        </w:rPr>
        <w:t>Houston, Texas    77002</w:t>
      </w:r>
    </w:p>
    <w:p>
      <w:pPr>
        <w:pStyle w:val="Normal"/>
        <w:ind w:hanging="360" w:start="360" w:end="0"/>
        <w:jc w:val="both"/>
        <w:rPr>
          <w:color w:val="0000FF"/>
          <w:u w:val="single"/>
        </w:rPr>
      </w:pPr>
      <w:r>
        <w:rPr>
          <w:color w:val="0000FF"/>
        </w:rPr>
        <w:t>Attention: Contract Admin.</w:t>
      </w:r>
    </w:p>
    <w:p>
      <w:pPr>
        <w:pStyle w:val="Normal"/>
        <w:ind w:hanging="360" w:start="360" w:end="0"/>
        <w:jc w:val="both"/>
        <w:rPr>
          <w:color w:val="0000FF"/>
        </w:rPr>
      </w:pPr>
      <w:r>
        <w:rPr>
          <w:color w:val="0000FF"/>
        </w:rPr>
        <w:t>Facsimile:  713-207-9663</w:t>
      </w:r>
    </w:p>
    <w:p>
      <w:pPr>
        <w:pStyle w:val="Normal"/>
        <w:ind w:hanging="360" w:start="360" w:end="0"/>
        <w:jc w:val="both"/>
        <w:rPr>
          <w:color w:val="0000FF"/>
        </w:rPr>
      </w:pPr>
      <w:r>
        <w:rPr>
          <w:color w:val="0000FF"/>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RELIANT ENERGY SERVICES CANADA, LTD.</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b/>
        </w:rPr>
      </w:pPr>
      <w:r>
        <w:rPr>
          <w:b/>
        </w:rPr>
      </w:r>
    </w:p>
    <w:p>
      <w:pPr>
        <w:pStyle w:val="Normal"/>
        <w:ind w:start="720" w:end="720"/>
        <w:jc w:val="center"/>
        <w:rPr>
          <w:b/>
          <w:caps/>
        </w:rPr>
      </w:pPr>
      <w:r>
        <w:rPr>
          <w:b/>
          <w:caps/>
        </w:rPr>
        <w:t>EXHIBIT "D" TO MASTER FIRM GAS PURCHASE/SALE AGREEMENT BETWEEN ENRON CANADA CORP. AND RELIANT ENERGY SERVICES</w:t>
      </w:r>
    </w:p>
    <w:p>
      <w:pPr>
        <w:pStyle w:val="Normal"/>
        <w:ind w:start="720" w:end="720"/>
        <w:jc w:val="center"/>
        <w:rPr>
          <w:b/>
          <w:caps/>
        </w:rPr>
      </w:pPr>
      <w:r>
        <w:rPr>
          <w:b/>
          <w:caps/>
        </w:rPr>
        <w:t xml:space="preserve">CANADA, LTD. DATED SEPTEMBER 15, </w:t>
      </w:r>
      <w:r>
        <w:rPr>
          <w:b/>
          <w:caps/>
          <w:color w:val="0000FF"/>
        </w:rPr>
        <w:t>1999</w:t>
      </w:r>
    </w:p>
    <w:p>
      <w:pPr>
        <w:pStyle w:val="Normal"/>
        <w:jc w:val="center"/>
        <w:rPr>
          <w:b/>
          <w:caps/>
        </w:rPr>
      </w:pPr>
      <w:r>
        <w:rPr>
          <w:b/>
          <w:caps/>
        </w:rPr>
      </w:r>
    </w:p>
    <w:p>
      <w:pPr>
        <w:pStyle w:val="Normal"/>
        <w:jc w:val="center"/>
        <w:rPr>
          <w:u w:val="single"/>
        </w:rPr>
      </w:pPr>
      <w:r>
        <w:rPr>
          <w:u w:val="single"/>
        </w:rPr>
        <w:t>CONFIDENTIAL GUARANTEE AGREEMENT</w:t>
      </w:r>
    </w:p>
    <w:p>
      <w:pPr>
        <w:pStyle w:val="Normal"/>
        <w:jc w:val="center"/>
        <w:rPr/>
      </w:pPr>
      <w:r>
        <w:rPr/>
      </w:r>
    </w:p>
    <w:p>
      <w:pPr>
        <w:pStyle w:val="Heading2"/>
        <w:rPr/>
      </w:pPr>
      <w:r>
        <w:rPr/>
        <w:t>This Guarantee Agreement (this "</w:t>
      </w:r>
      <w:r>
        <w:rPr>
          <w:u w:val="single"/>
        </w:rPr>
        <w:t>Guarantee</w:t>
      </w:r>
      <w:r>
        <w:rPr/>
        <w:t xml:space="preserve">"), dated as of September 15, </w:t>
      </w:r>
      <w:r>
        <w:rPr>
          <w:color w:val="0000FF"/>
        </w:rPr>
        <w:t>1999</w:t>
      </w:r>
      <w:r>
        <w:rPr/>
        <w:t xml:space="preserve">, is made and entered into between Reliant Energy Resources Corp., </w:t>
      </w:r>
      <w:r>
        <w:rPr>
          <w:color w:val="0000FF"/>
        </w:rPr>
        <w:t xml:space="preserve">a Texas </w:t>
      </w:r>
      <w:r>
        <w:rPr/>
        <w:t>corporation ("</w:t>
      </w:r>
      <w:r>
        <w:rPr>
          <w:u w:val="single"/>
        </w:rPr>
        <w:t>Guarantor</w:t>
      </w:r>
      <w:r>
        <w:rPr/>
        <w:t>"), and Enron Canada Corp., an Alberta corporation ("</w:t>
      </w:r>
      <w:r>
        <w:rPr>
          <w:u w:val="single"/>
        </w:rPr>
        <w:t>Contract Party</w:t>
      </w:r>
      <w:r>
        <w:rPr/>
        <w:t>").</w:t>
      </w:r>
    </w:p>
    <w:p>
      <w:pPr>
        <w:pStyle w:val="Justified"/>
        <w:rPr/>
      </w:pPr>
      <w:r>
        <w:rPr/>
      </w:r>
    </w:p>
    <w:p>
      <w:pPr>
        <w:pStyle w:val="Heading2"/>
        <w:rPr/>
      </w:pPr>
      <w:r>
        <w:rPr/>
        <w:t>WHEREAS, (i) Contract Party and Reliant Energy Services Canada, Ltd., a wholly owned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Gas Contract that ever shall be required to be paid by Guarantor shall not exceed </w:t>
      </w:r>
      <w:r>
        <w:rPr>
          <w:color w:val="0000FF"/>
        </w:rPr>
        <w:t>U.S. $10 million</w:t>
      </w:r>
      <w:r>
        <w:rPr/>
        <w:t xml:space="preserve">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color w:val="0000FF"/>
          <w:u w:val="single"/>
        </w:rPr>
      </w:pPr>
      <w:r>
        <w:rPr>
          <w:color w:val="0000FF"/>
          <w:u w:val="single"/>
        </w:rPr>
        <w:t>Reliant Energy Resources Corp.</w:t>
      </w:r>
    </w:p>
    <w:p>
      <w:pPr>
        <w:pStyle w:val="Normal"/>
        <w:ind w:hanging="360" w:start="360" w:end="0"/>
        <w:jc w:val="both"/>
        <w:rPr>
          <w:color w:val="0000FF"/>
          <w:u w:val="single"/>
        </w:rPr>
      </w:pPr>
      <w:r>
        <w:rPr>
          <w:color w:val="0000FF"/>
          <w:u w:val="single"/>
        </w:rPr>
        <w:tab/>
        <w:tab/>
        <w:tab/>
        <w:tab/>
        <w:tab/>
      </w:r>
    </w:p>
    <w:p>
      <w:pPr>
        <w:pStyle w:val="Normal"/>
        <w:ind w:hanging="360" w:start="360" w:end="0"/>
        <w:jc w:val="both"/>
        <w:rPr>
          <w:color w:val="0000FF"/>
          <w:u w:val="single"/>
        </w:rPr>
      </w:pPr>
      <w:r>
        <w:rPr>
          <w:color w:val="0000FF"/>
          <w:u w:val="single"/>
        </w:rPr>
        <w:tab/>
        <w:tab/>
        <w:tab/>
        <w:tab/>
        <w:tab/>
      </w:r>
    </w:p>
    <w:p>
      <w:pPr>
        <w:pStyle w:val="Normal"/>
        <w:ind w:hanging="360" w:start="360" w:end="0"/>
        <w:jc w:val="both"/>
        <w:rPr/>
      </w:pPr>
      <w:r>
        <w:rPr>
          <w:color w:val="0000FF"/>
        </w:rPr>
        <w:t>Attention:</w:t>
      </w:r>
      <w:r>
        <w:rPr>
          <w:color w:val="0000FF"/>
          <w:u w:val="single"/>
        </w:rPr>
        <w:tab/>
        <w:tab/>
        <w:tab/>
      </w:r>
    </w:p>
    <w:p>
      <w:pPr>
        <w:pStyle w:val="Normal"/>
        <w:ind w:hanging="360" w:start="360" w:end="0"/>
        <w:jc w:val="both"/>
        <w:rPr/>
      </w:pPr>
      <w:r>
        <w:rPr>
          <w:color w:val="0000FF"/>
        </w:rPr>
        <w:t>Facsimile:</w:t>
      </w:r>
      <w:r>
        <w:rPr>
          <w:color w:val="0000FF"/>
          <w:u w:val="single"/>
        </w:rPr>
        <w:tab/>
        <w:tab/>
        <w:tab/>
      </w:r>
    </w:p>
    <w:p>
      <w:pPr>
        <w:pStyle w:val="Normal"/>
        <w:ind w:hanging="360" w:start="360" w:end="0"/>
        <w:jc w:val="both"/>
        <w:rPr>
          <w:color w:val="0000FF"/>
          <w:u w:val="single"/>
        </w:rPr>
      </w:pPr>
      <w:r>
        <w:rPr>
          <w:color w:val="0000FF"/>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pPr>
      <w:r>
        <w:rPr/>
        <w:t>Enron Canada Corp.</w:t>
      </w:r>
    </w:p>
    <w:p>
      <w:pPr>
        <w:pStyle w:val="Normal"/>
        <w:ind w:hanging="360" w:start="360" w:end="0"/>
        <w:jc w:val="both"/>
        <w:rPr/>
      </w:pPr>
      <w:r>
        <w:rPr/>
        <w:t>3500, 400 - 3rd Avenue S.W.</w:t>
      </w:r>
    </w:p>
    <w:p>
      <w:pPr>
        <w:pStyle w:val="Normal"/>
        <w:ind w:hanging="360" w:start="360" w:end="0"/>
        <w:jc w:val="both"/>
        <w:rPr/>
      </w:pPr>
      <w:r>
        <w:rPr/>
        <w:t>Calgary, Alberta   T2P 4H2</w:t>
      </w:r>
    </w:p>
    <w:p>
      <w:pPr>
        <w:pStyle w:val="Normal"/>
        <w:ind w:hanging="360" w:start="360" w:end="0"/>
        <w:jc w:val="both"/>
        <w:rPr>
          <w:u w:val="single"/>
        </w:rPr>
      </w:pPr>
      <w:r>
        <w:rPr/>
        <w:t>Attention:  Corporate Secretary</w:t>
      </w:r>
    </w:p>
    <w:p>
      <w:pPr>
        <w:pStyle w:val="Normal"/>
        <w:ind w:hanging="360" w:start="360" w:end="0"/>
        <w:jc w:val="both"/>
        <w:rPr/>
      </w:pPr>
      <w:r>
        <w:rPr/>
        <w:t>Facsimile:  (403) 974-6707</w:t>
      </w:r>
    </w:p>
    <w:p>
      <w:pPr>
        <w:pStyle w:val="Normal"/>
        <w:ind w:hanging="360" w:start="360" w:end="0"/>
        <w:jc w:val="both"/>
        <w:rPr/>
      </w:pPr>
      <w:r>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jc w:val="both"/>
              <w:rPr>
                <w:b/>
              </w:rPr>
            </w:pPr>
            <w:r>
              <w:rPr>
                <w:b/>
              </w:rPr>
              <w:t>RELIANT ENERGY RESOURCES CORP.</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"C"</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"C"</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reliant.master5.clean.final.doc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(Enron Canada's Guarantor)</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t>______________________</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Arial" w:hAnsi="CG Times (WN);Arial" w:eastAsia="Times New Roman" w:cs="CG Times (WN);Arial"/>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Arial" w:hAnsi="CG Times (WN);Arial" w:eastAsia="Times New Roman" w:cs="CG Times (WN);Arial"/>
      <w:color w:val="auto"/>
      <w:sz w:val="20"/>
      <w:szCs w:val="20"/>
      <w:lang w:val="en-US" w:eastAsia="zh-CN" w:bidi="hi-IN"/>
    </w:rPr>
  </w:style>
  <w:style w:type="paragraph" w:styleId="para">
    <w:name w:val="para"/>
    <w:qFormat/>
    <w:pPr>
      <w:widowControl/>
      <w:bidi w:val="0"/>
    </w:pPr>
    <w:rPr>
      <w:rFonts w:ascii="CG Times (WN);Arial" w:hAnsi="CG Times (WN);Arial" w:eastAsia="Times New Roman" w:cs="CG Times (WN);Arial"/>
      <w:color w:val="auto"/>
      <w:sz w:val="20"/>
      <w:szCs w:val="20"/>
      <w:lang w:val="en-US" w:eastAsia="zh-CN" w:bidi="hi-IN"/>
    </w:rPr>
  </w:style>
  <w:style w:type="paragraph" w:styleId="section">
    <w:name w:val="section"/>
    <w:qFormat/>
    <w:pPr>
      <w:widowControl/>
      <w:bidi w:val="0"/>
    </w:pPr>
    <w:rPr>
      <w:rFonts w:ascii="CG Times (WN);Arial" w:hAnsi="CG Times (WN);Arial" w:eastAsia="Times New Roman" w:cs="CG Times (WN);Arial"/>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2000-02-02T19:02:00Z</dcterms:created>
  <dc:creator>ushah</dc:creator>
  <dc:description/>
  <cp:keywords>Master Firm Gas Purchase/Sale Agreement - CDN3109.DOC</cp:keywords>
  <dc:language>en-CA</dc:language>
  <cp:lastModifiedBy>Linda Sietzema</cp:lastModifiedBy>
  <cp:lastPrinted>2000-02-02T14:46:00Z</cp:lastPrinted>
  <dcterms:modified xsi:type="dcterms:W3CDTF">2000-02-02T19:32:00Z</dcterms:modified>
  <cp:revision>5</cp:revision>
  <dc:subject>new precedent</dc:subject>
  <dc:title>Master Firm Gas Purchase/Sale Agreement</dc:title>
</cp:coreProperties>
</file>