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78" w:type="dxa"/>
        <w:jc w:val="start"/>
        <w:tblInd w:w="0" w:type="dxa"/>
        <w:tblLayout w:type="fixed"/>
        <w:tblCellMar>
          <w:top w:w="0" w:type="dxa"/>
          <w:start w:w="108" w:type="dxa"/>
          <w:bottom w:w="0" w:type="dxa"/>
          <w:end w:w="108" w:type="dxa"/>
        </w:tblCellMar>
      </w:tblPr>
      <w:tblGrid>
        <w:gridCol w:w="6228"/>
        <w:gridCol w:w="1440"/>
        <w:gridCol w:w="2610"/>
      </w:tblGrid>
      <w:tr>
        <w:trPr/>
        <w:tc>
          <w:tcPr>
            <w:tcW w:w="6228" w:type="dxa"/>
            <w:tcBorders/>
          </w:tcPr>
          <w:p>
            <w:pPr>
              <w:pStyle w:val="OS"/>
              <w:spacing w:before="0" w:after="0"/>
              <w:rPr>
                <w:lang w:eastAsia="en-CA"/>
              </w:rPr>
            </w:pPr>
            <w:r>
              <w:rPr>
                <w:lang w:eastAsia="en-CA"/>
              </w:rPr>
              <w:t>June xx, 2001</w:t>
            </w:r>
          </w:p>
        </w:tc>
        <w:tc>
          <w:tcPr>
            <w:tcW w:w="1440" w:type="dxa"/>
            <w:tcBorders/>
          </w:tcPr>
          <w:p>
            <w:pPr>
              <w:pStyle w:val="Normal"/>
              <w:rPr>
                <w:sz w:val="24"/>
              </w:rPr>
            </w:pPr>
            <w:r>
              <w:rPr>
                <w:sz w:val="24"/>
              </w:rPr>
              <w:t>CONTACT:</w:t>
            </w:r>
          </w:p>
        </w:tc>
        <w:tc>
          <w:tcPr>
            <w:tcW w:w="2610" w:type="dxa"/>
            <w:tcBorders/>
          </w:tcPr>
          <w:p>
            <w:pPr>
              <w:pStyle w:val="Normal"/>
              <w:rPr>
                <w:sz w:val="24"/>
              </w:rPr>
            </w:pPr>
            <w:r>
              <w:rPr>
                <w:sz w:val="24"/>
              </w:rPr>
              <w:t xml:space="preserve">Jennifer Pierce </w:t>
            </w:r>
          </w:p>
        </w:tc>
      </w:tr>
      <w:tr>
        <w:trPr/>
        <w:tc>
          <w:tcPr>
            <w:tcW w:w="6228" w:type="dxa"/>
            <w:tcBorders/>
          </w:tcPr>
          <w:p>
            <w:pPr>
              <w:pStyle w:val="Normal"/>
              <w:snapToGrid w:val="false"/>
              <w:rPr>
                <w:sz w:val="24"/>
              </w:rPr>
            </w:pPr>
            <w:r>
              <w:rPr>
                <w:sz w:val="24"/>
              </w:rPr>
            </w:r>
          </w:p>
        </w:tc>
        <w:tc>
          <w:tcPr>
            <w:tcW w:w="1440" w:type="dxa"/>
            <w:tcBorders/>
          </w:tcPr>
          <w:p>
            <w:pPr>
              <w:pStyle w:val="Normal"/>
              <w:rPr>
                <w:sz w:val="24"/>
              </w:rPr>
            </w:pPr>
            <w:r>
              <w:rPr>
                <w:sz w:val="24"/>
              </w:rPr>
              <w:t>Phone:</w:t>
            </w:r>
          </w:p>
        </w:tc>
        <w:tc>
          <w:tcPr>
            <w:tcW w:w="2610" w:type="dxa"/>
            <w:tcBorders/>
          </w:tcPr>
          <w:p>
            <w:pPr>
              <w:pStyle w:val="Normal"/>
              <w:rPr>
                <w:sz w:val="24"/>
              </w:rPr>
            </w:pPr>
            <w:r>
              <w:rPr>
                <w:sz w:val="24"/>
              </w:rPr>
              <w:t>713/627-5719</w:t>
            </w:r>
          </w:p>
        </w:tc>
      </w:tr>
      <w:tr>
        <w:trPr/>
        <w:tc>
          <w:tcPr>
            <w:tcW w:w="6228" w:type="dxa"/>
            <w:tcBorders/>
          </w:tcPr>
          <w:p>
            <w:pPr>
              <w:pStyle w:val="Normal"/>
              <w:snapToGrid w:val="false"/>
              <w:rPr>
                <w:sz w:val="24"/>
              </w:rPr>
            </w:pPr>
            <w:r>
              <w:rPr>
                <w:sz w:val="24"/>
              </w:rPr>
            </w:r>
          </w:p>
        </w:tc>
        <w:tc>
          <w:tcPr>
            <w:tcW w:w="1440" w:type="dxa"/>
            <w:tcBorders/>
          </w:tcPr>
          <w:p>
            <w:pPr>
              <w:pStyle w:val="Normal"/>
              <w:rPr>
                <w:sz w:val="24"/>
              </w:rPr>
            </w:pPr>
            <w:r>
              <w:rPr>
                <w:sz w:val="24"/>
              </w:rPr>
              <w:t>24-Hour:</w:t>
            </w:r>
          </w:p>
        </w:tc>
        <w:tc>
          <w:tcPr>
            <w:tcW w:w="2610" w:type="dxa"/>
            <w:tcBorders/>
          </w:tcPr>
          <w:p>
            <w:pPr>
              <w:pStyle w:val="Normal"/>
              <w:rPr>
                <w:sz w:val="24"/>
              </w:rPr>
            </w:pPr>
            <w:r>
              <w:rPr>
                <w:sz w:val="24"/>
              </w:rPr>
              <w:t>704/382-8333</w:t>
            </w:r>
          </w:p>
        </w:tc>
      </w:tr>
    </w:tbl>
    <w:p>
      <w:pPr>
        <w:pStyle w:val="OS"/>
        <w:spacing w:before="0" w:after="0"/>
        <w:rPr>
          <w:lang w:eastAsia="en-CA"/>
        </w:rPr>
      </w:pPr>
      <w:r>
        <w:rPr>
          <w:lang w:eastAsia="en-CA"/>
        </w:rPr>
      </w:r>
    </w:p>
    <w:p>
      <w:pPr>
        <w:pStyle w:val="Heading1"/>
        <w:ind w:hanging="0" w:start="0"/>
        <w:rPr>
          <w:u w:val="none"/>
          <w:lang w:eastAsia="en-CA"/>
        </w:rPr>
      </w:pPr>
      <w:r>
        <w:rPr>
          <w:u w:val="none"/>
          <w:lang w:eastAsia="en-CA"/>
        </w:rPr>
      </w:r>
    </w:p>
    <w:p>
      <w:pPr>
        <w:pStyle w:val="Heading4"/>
        <w:ind w:hanging="0" w:start="0"/>
        <w:rPr/>
      </w:pPr>
      <w:r>
        <w:rPr/>
        <w:t xml:space="preserve">DUKE ENERGY ACQUIRES 400 MEGAWATT FACILITY </w:t>
      </w:r>
    </w:p>
    <w:p>
      <w:pPr>
        <w:pStyle w:val="Heading4"/>
        <w:ind w:hanging="0" w:start="0"/>
        <w:rPr/>
      </w:pPr>
      <w:r>
        <w:rPr/>
        <w:t>IN SOUTHEAST UNITED STATES</w:t>
      </w:r>
    </w:p>
    <w:p>
      <w:pPr>
        <w:pStyle w:val="Normal"/>
        <w:jc w:val="center"/>
        <w:rPr>
          <w:sz w:val="24"/>
        </w:rPr>
      </w:pPr>
      <w:r>
        <w:rPr>
          <w:sz w:val="24"/>
        </w:rPr>
      </w:r>
    </w:p>
    <w:p>
      <w:pPr>
        <w:pStyle w:val="OS"/>
        <w:keepLines/>
        <w:spacing w:lineRule="auto" w:line="360" w:before="0" w:after="0"/>
        <w:rPr>
          <w:color w:val="000000"/>
          <w:sz w:val="24"/>
        </w:rPr>
      </w:pPr>
      <w:r>
        <w:rPr>
          <w:color w:val="000000"/>
          <w:sz w:val="24"/>
        </w:rPr>
      </w:r>
    </w:p>
    <w:p>
      <w:pPr>
        <w:pStyle w:val="Normal"/>
        <w:spacing w:lineRule="auto" w:line="360"/>
        <w:rPr>
          <w:sz w:val="24"/>
        </w:rPr>
      </w:pPr>
      <w:r>
        <w:rPr>
          <w:color w:val="000000"/>
          <w:sz w:val="24"/>
        </w:rPr>
        <w:t xml:space="preserve">HOUSTON– Duke Energy announced today it had acquired a 400-megawatt merchant generation facility from Enron. Acquisition of the Union County, Mississippi natural gas-fired facility expands Duke Energy’s southeast generation portfolio. It further provides additional trading and structured origination opportunities throughout the eastern interconnect. </w:t>
      </w:r>
      <w:r>
        <w:rPr>
          <w:sz w:val="24"/>
          <w:lang w:eastAsia="en-US"/>
        </w:rPr>
        <w:t>Terms of the transaction were not disclosed.</w:t>
      </w:r>
    </w:p>
    <w:p>
      <w:pPr>
        <w:pStyle w:val="OS"/>
        <w:keepLines/>
        <w:spacing w:lineRule="auto" w:line="360" w:before="0" w:after="0"/>
        <w:rPr>
          <w:color w:val="000000"/>
          <w:sz w:val="24"/>
        </w:rPr>
      </w:pPr>
      <w:r>
        <w:rPr>
          <w:color w:val="000000"/>
          <w:sz w:val="24"/>
        </w:rPr>
      </w:r>
    </w:p>
    <w:p>
      <w:pPr>
        <w:pStyle w:val="OS"/>
        <w:keepLines/>
        <w:spacing w:lineRule="auto" w:line="360" w:before="0" w:after="0"/>
        <w:rPr>
          <w:color w:val="000000"/>
        </w:rPr>
      </w:pPr>
      <w:r>
        <w:rPr>
          <w:color w:val="000000"/>
        </w:rPr>
        <w:t>“</w:t>
      </w:r>
      <w:r>
        <w:rPr>
          <w:color w:val="000000"/>
        </w:rPr>
        <w:t>The southeast United States is one of the fastest growing regions of the country. Within the next year, Duke Energy will have added over 3,000 megawatts of generation capacity, breaking ground on our first facilities in 2000,” said Duke Energy North America (DENA) president and chief executive officer Jim Donnell. “Acquisition of the Union County facility gives Duke Energy ready access to the Tennessee Valley Authority transmission system and supports our trading and structured origination efforts throughout the eastern region.”</w:t>
      </w:r>
    </w:p>
    <w:p>
      <w:pPr>
        <w:pStyle w:val="OS"/>
        <w:keepLines/>
        <w:spacing w:lineRule="auto" w:line="360" w:before="0" w:after="0"/>
        <w:rPr>
          <w:color w:val="000000"/>
        </w:rPr>
      </w:pPr>
      <w:r>
        <w:rPr>
          <w:color w:val="000000"/>
        </w:rPr>
      </w:r>
    </w:p>
    <w:p>
      <w:pPr>
        <w:pStyle w:val="OS"/>
        <w:keepLines/>
        <w:spacing w:lineRule="auto" w:line="360" w:before="0" w:after="0"/>
        <w:rPr>
          <w:color w:val="000000"/>
        </w:rPr>
      </w:pPr>
      <w:r>
        <w:rPr>
          <w:color w:val="000000"/>
        </w:rPr>
        <w:t>The North American Electric Reliability Council (NERC) estimates the Southeastern Electric Reliability Council (SERC) needs an additional 40,000 megawatts of generation capacity over the next decade to meet peaking demand. Given access to major transmission lines, the Duke Energy facility will be able to serve demand throughout the southeast and Midwest United States.</w:t>
      </w:r>
    </w:p>
    <w:p>
      <w:pPr>
        <w:pStyle w:val="OS"/>
        <w:keepLines/>
        <w:spacing w:lineRule="auto" w:line="360" w:before="0" w:after="0"/>
        <w:rPr>
          <w:color w:val="000000"/>
        </w:rPr>
      </w:pPr>
      <w:r>
        <w:rPr>
          <w:color w:val="000000"/>
        </w:rPr>
        <w:t xml:space="preserve"> </w:t>
      </w:r>
    </w:p>
    <w:p>
      <w:pPr>
        <w:pStyle w:val="OS"/>
        <w:keepLines/>
        <w:spacing w:lineRule="auto" w:line="360" w:before="0" w:after="0"/>
        <w:rPr>
          <w:color w:val="000000"/>
        </w:rPr>
      </w:pPr>
      <w:r>
        <w:rPr>
          <w:color w:val="000000"/>
        </w:rPr>
        <w:t>DENA is Duke Energy’s Houston-based merchant energy company.  DENA has 13,300 megawatts in operation and under construction across the United States. In Mississippi, the company has a 520-megawatt facility in operation and two 620-megawatt facilities under construction with commercial operations set to start by the summer 2002.</w:t>
      </w:r>
    </w:p>
    <w:p>
      <w:pPr>
        <w:sectPr>
          <w:type w:val="nextPage"/>
          <w:pgSz w:w="12240" w:h="15840"/>
          <w:pgMar w:left="1440" w:right="1440" w:gutter="0" w:header="0" w:top="3744" w:footer="0" w:bottom="1008"/>
          <w:pgNumType w:fmt="decimal"/>
          <w:formProt w:val="false"/>
          <w:textDirection w:val="lrTb"/>
          <w:docGrid w:type="default" w:linePitch="360" w:charSpace="0"/>
        </w:sectPr>
        <w:pStyle w:val="OS"/>
        <w:keepLines/>
        <w:spacing w:lineRule="auto" w:line="360" w:before="0" w:after="0"/>
        <w:jc w:val="center"/>
        <w:rPr>
          <w:color w:val="000000"/>
        </w:rPr>
      </w:pPr>
      <w:r>
        <w:rPr>
          <w:color w:val="000000"/>
        </w:rPr>
        <w:t>- more -</w:t>
      </w:r>
    </w:p>
    <w:p>
      <w:pPr>
        <w:pStyle w:val="OS"/>
        <w:keepLines/>
        <w:spacing w:lineRule="auto" w:line="360" w:before="0" w:after="0"/>
        <w:jc w:val="center"/>
        <w:rPr/>
      </w:pPr>
      <w:r>
        <w:rPr/>
        <w:t>- 2 -</w:t>
      </w:r>
    </w:p>
    <w:p>
      <w:pPr>
        <w:pStyle w:val="Normal"/>
        <w:spacing w:lineRule="auto" w:line="360"/>
        <w:rPr/>
      </w:pPr>
      <w:r>
        <w:rPr>
          <w:color w:val="000000"/>
          <w:sz w:val="24"/>
          <w:lang w:eastAsia="en-US"/>
        </w:rPr>
        <w:t xml:space="preserve">Duke Energy, a diversified multinational energy company, creates value for customers and shareholders through an integrated network of energy assets and expertise. Duke Energy manages a dynamic portfolio of natural gas and electric supply, delivery and trading businesses -- generating revenues of nearly $49 billion in 2000. Duke Energy, headquartered in Charlotte, N.C., is a Fortune 100 company traded on the New York Stock Exchange under the symbol DUK. More information about the company is available on the Internet at: </w:t>
      </w:r>
      <w:r>
        <w:rPr>
          <w:color w:val="0000FF"/>
          <w:sz w:val="24"/>
          <w:u w:val="single"/>
          <w:lang w:eastAsia="en-US"/>
        </w:rPr>
        <w:t>www.duke-energy.com</w:t>
      </w:r>
      <w:r>
        <w:rPr>
          <w:color w:val="000000"/>
          <w:sz w:val="24"/>
          <w:u w:val="single"/>
          <w:lang w:eastAsia="en-US"/>
        </w:rPr>
        <w:t>.</w:t>
      </w:r>
    </w:p>
    <w:p>
      <w:pPr>
        <w:pStyle w:val="OS"/>
        <w:spacing w:lineRule="auto" w:line="360" w:before="0" w:after="0"/>
        <w:jc w:val="center"/>
        <w:rPr>
          <w:color w:val="000000"/>
        </w:rPr>
      </w:pPr>
      <w:r>
        <w:rPr>
          <w:color w:val="000000"/>
        </w:rPr>
        <w:t>###</w:t>
      </w:r>
    </w:p>
    <w:sectPr>
      <w:type w:val="nextPage"/>
      <w:pgSz w:w="12240" w:h="15840"/>
      <w:pgMar w:left="1440" w:right="144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lang w:eastAsia="en-US"/>
    </w:rPr>
  </w:style>
  <w:style w:type="paragraph" w:styleId="Heading2">
    <w:name w:val="heading 2"/>
    <w:basedOn w:val="Normal"/>
    <w:next w:val="Normal"/>
    <w:qFormat/>
    <w:pPr>
      <w:keepNext w:val="true"/>
      <w:numPr>
        <w:ilvl w:val="1"/>
        <w:numId w:val="1"/>
      </w:numPr>
      <w:jc w:val="end"/>
      <w:outlineLvl w:val="1"/>
    </w:pPr>
    <w:rPr>
      <w:u w:val="single"/>
    </w:rPr>
  </w:style>
  <w:style w:type="paragraph" w:styleId="Heading3">
    <w:name w:val="heading 3"/>
    <w:basedOn w:val="Normal"/>
    <w:next w:val="Normal"/>
    <w:qFormat/>
    <w:pPr>
      <w:keepNext w:val="true"/>
      <w:numPr>
        <w:ilvl w:val="2"/>
        <w:numId w:val="1"/>
      </w:numPr>
      <w:spacing w:lineRule="atLeast" w:line="240"/>
      <w:jc w:val="center"/>
      <w:outlineLvl w:val="2"/>
    </w:pPr>
    <w:rPr>
      <w:color w:val="000000"/>
      <w:sz w:val="24"/>
      <w:u w:val="single"/>
      <w:lang w:eastAsia="en-US"/>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spacing w:lineRule="atLeast" w:line="240"/>
      <w:jc w:val="center"/>
      <w:outlineLvl w:val="4"/>
    </w:pPr>
    <w:rPr>
      <w:color w:val="000000"/>
      <w:sz w:val="24"/>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S">
    <w:name w:val="OS"/>
    <w:basedOn w:val="Normal"/>
    <w:qFormat/>
    <w:pPr>
      <w:spacing w:before="240" w:after="0"/>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2001-06-25T13:12:00Z</dcterms:created>
  <dc:creator>Duke Power Company</dc:creator>
  <dc:description/>
  <dc:language>en-CA</dc:language>
  <cp:lastModifiedBy>Duke Power Company</cp:lastModifiedBy>
  <cp:lastPrinted>2001-06-25T10:35:00Z</cp:lastPrinted>
  <dcterms:modified xsi:type="dcterms:W3CDTF">2001-06-25T13:12:00Z</dcterms:modified>
  <cp:revision>2</cp:revision>
  <dc:subject/>
  <dc:title>Contact:  Jennifer Pierce</dc:title>
</cp:coreProperties>
</file>