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UNITED STATES OF AMERICA</w:t>
      </w:r>
    </w:p>
    <w:p>
      <w:pPr>
        <w:pStyle w:val="Normal"/>
        <w:jc w:val="center"/>
        <w:rPr>
          <w:b/>
        </w:rPr>
      </w:pPr>
      <w:r>
        <w:rPr>
          <w:b/>
        </w:rPr>
        <w:t>BEFORE THE</w:t>
      </w:r>
    </w:p>
    <w:p>
      <w:pPr>
        <w:pStyle w:val="Normal"/>
        <w:jc w:val="center"/>
        <w:rPr>
          <w:sz w:val="28"/>
        </w:rPr>
      </w:pPr>
      <w:r>
        <w:rPr>
          <w:b/>
          <w:sz w:val="28"/>
        </w:rPr>
        <w:t>FEDERAL ENERGY REGULATORY COMMISSION</w:t>
      </w:r>
    </w:p>
    <w:p>
      <w:pPr>
        <w:pStyle w:val="Normal"/>
        <w:rPr>
          <w:sz w:val="28"/>
        </w:rPr>
      </w:pPr>
      <w:r>
        <w:rPr>
          <w:sz w:val="28"/>
        </w:rPr>
      </w:r>
    </w:p>
    <w:p>
      <w:pPr>
        <w:pStyle w:val="Normal"/>
        <w:rPr/>
      </w:pPr>
      <w:r>
        <w:rPr/>
      </w:r>
    </w:p>
    <w:p>
      <w:pPr>
        <w:pStyle w:val="BodyText"/>
        <w:tabs>
          <w:tab w:val="clear" w:pos="720"/>
          <w:tab w:val="left" w:pos="4320" w:leader="none"/>
        </w:tabs>
        <w:jc w:val="both"/>
        <w:rPr>
          <w:spacing w:val="-3"/>
        </w:rPr>
      </w:pPr>
      <w:r>
        <w:rPr>
          <w:spacing w:val="-3"/>
        </w:rPr>
        <w:t>In the Matter of</w:t>
        <w:tab/>
        <w:t>)</w:t>
      </w:r>
    </w:p>
    <w:p>
      <w:pPr>
        <w:pStyle w:val="BodyText"/>
        <w:tabs>
          <w:tab w:val="clear" w:pos="720"/>
          <w:tab w:val="left" w:pos="4320" w:leader="none"/>
        </w:tabs>
        <w:jc w:val="both"/>
        <w:rPr>
          <w:spacing w:val="-3"/>
        </w:rPr>
      </w:pPr>
      <w:r>
        <w:rPr>
          <w:spacing w:val="-3"/>
        </w:rPr>
        <w:tab/>
        <w:t>)</w:t>
        <w:tab/>
        <w:t>Docket Nos. RP00-249-000 and</w:t>
      </w:r>
    </w:p>
    <w:p>
      <w:pPr>
        <w:pStyle w:val="BodyText"/>
        <w:tabs>
          <w:tab w:val="clear" w:pos="720"/>
          <w:tab w:val="left" w:pos="4320" w:leader="none"/>
        </w:tabs>
        <w:jc w:val="both"/>
        <w:rPr>
          <w:spacing w:val="-3"/>
        </w:rPr>
      </w:pPr>
      <w:r>
        <w:rPr>
          <w:spacing w:val="-3"/>
        </w:rPr>
        <w:t>Transwestern Pipeline Company</w:t>
        <w:tab/>
        <w:t>)</w:t>
        <w:tab/>
        <w:tab/>
        <w:t xml:space="preserve">         RP00-249-001</w:t>
      </w:r>
    </w:p>
    <w:p>
      <w:pPr>
        <w:pStyle w:val="BodyText"/>
        <w:jc w:val="both"/>
        <w:rPr>
          <w:spacing w:val="-3"/>
        </w:rPr>
      </w:pPr>
      <w:r>
        <w:rPr>
          <w:spacing w:val="-3"/>
        </w:rPr>
      </w:r>
    </w:p>
    <w:p>
      <w:pPr>
        <w:pStyle w:val="BodyText"/>
        <w:jc w:val="center"/>
        <w:rPr>
          <w:b/>
          <w:spacing w:val="-3"/>
        </w:rPr>
      </w:pPr>
      <w:r>
        <w:rPr>
          <w:b/>
          <w:spacing w:val="-3"/>
        </w:rPr>
      </w:r>
    </w:p>
    <w:p>
      <w:pPr>
        <w:pStyle w:val="BodyText"/>
        <w:jc w:val="center"/>
        <w:rPr>
          <w:b/>
          <w:spacing w:val="-3"/>
        </w:rPr>
      </w:pPr>
      <w:r>
        <w:rPr>
          <w:b/>
          <w:spacing w:val="-3"/>
        </w:rPr>
        <w:t>REQUEST FOR REHEARING OF</w:t>
      </w:r>
    </w:p>
    <w:p>
      <w:pPr>
        <w:pStyle w:val="BodyText"/>
        <w:jc w:val="center"/>
        <w:rPr>
          <w:b/>
          <w:spacing w:val="-3"/>
          <w:u w:val="single"/>
        </w:rPr>
      </w:pPr>
      <w:r>
        <w:rPr>
          <w:b/>
          <w:spacing w:val="-3"/>
          <w:u w:val="single"/>
        </w:rPr>
        <w:t>TRANSWESTERN PIPELINE COMPANY</w:t>
      </w:r>
    </w:p>
    <w:p>
      <w:pPr>
        <w:pStyle w:val="BodyText"/>
        <w:jc w:val="center"/>
        <w:rPr>
          <w:b/>
          <w:spacing w:val="-3"/>
          <w:u w:val="single"/>
        </w:rPr>
      </w:pPr>
      <w:r>
        <w:rPr>
          <w:b/>
          <w:spacing w:val="-3"/>
          <w:u w:val="single"/>
        </w:rPr>
      </w:r>
    </w:p>
    <w:p>
      <w:pPr>
        <w:pStyle w:val="BodyText"/>
        <w:spacing w:lineRule="auto" w:line="360"/>
        <w:jc w:val="both"/>
        <w:rPr/>
      </w:pPr>
      <w:r>
        <w:rPr>
          <w:spacing w:val="-3"/>
        </w:rPr>
        <w:tab/>
        <w:t xml:space="preserve">Transwestern Pipeline Company (Transwestern), pursuant to Section 19 of the Natural Gas Act (NGA), 15 U.S.C. § 717r, and Rule 713 of the Federal Energy Regulatory Commission's (Commission) Rules of Practice and Procedure, 18 C.F.R. § 385.713, hereby respectfully requests rehearing of the Commission's September </w:t>
      </w:r>
      <w:r>
        <w:rPr/>
        <w:t>15, 2000 Order Following Technical Conference (September 15 Order).  In support thereof, Transwestern states as follows:</w:t>
      </w:r>
    </w:p>
    <w:p>
      <w:pPr>
        <w:pStyle w:val="Normal"/>
        <w:spacing w:lineRule="auto" w:line="360"/>
        <w:jc w:val="center"/>
        <w:rPr>
          <w:b/>
          <w:sz w:val="24"/>
        </w:rPr>
      </w:pPr>
      <w:r>
        <w:rPr>
          <w:b/>
          <w:sz w:val="24"/>
        </w:rPr>
        <w:t>I.</w:t>
      </w:r>
    </w:p>
    <w:p>
      <w:pPr>
        <w:pStyle w:val="Heading1"/>
        <w:spacing w:lineRule="auto" w:line="360"/>
        <w:ind w:hanging="0" w:start="0"/>
        <w:rPr/>
      </w:pPr>
      <w:r>
        <w:rPr/>
        <w:t>BACKGROUND</w:t>
      </w:r>
    </w:p>
    <w:p>
      <w:pPr>
        <w:pStyle w:val="Normal"/>
        <w:spacing w:lineRule="auto" w:line="360"/>
        <w:jc w:val="both"/>
        <w:rPr>
          <w:sz w:val="24"/>
        </w:rPr>
      </w:pPr>
      <w:r>
        <w:rPr>
          <w:sz w:val="24"/>
        </w:rPr>
        <w:tab/>
        <w:t>On April 14, 2000, Transwestern filed tariff sheets that would allow it to contract for off-system capacity on Public Service Company of New Mexico (PNM) for purposes of providing firm service under Transwestern's tariff.  In the September 15 Order, the Commission accepted the tariff sheets subject to certain conditions.  One condition is that Transwestern may not obtain such capacity for use in providing firm service except during the off-peak period.  Transwestern seeks rehearing of the September 15 Order with respect to this condition only.  Transwestern requests that the Commission modify the order to state that Transwestern may purchase firm capacity on PNM whenever it is available but may not repackage interruptible capacity it acquires from PNM as firm service on Transwestern.</w:t>
      </w:r>
    </w:p>
    <w:p>
      <w:pPr>
        <w:pStyle w:val="Normal"/>
        <w:spacing w:lineRule="auto" w:line="360"/>
        <w:jc w:val="center"/>
        <w:rPr>
          <w:b/>
          <w:sz w:val="24"/>
        </w:rPr>
      </w:pPr>
      <w:r>
        <w:rPr>
          <w:b/>
          <w:sz w:val="24"/>
        </w:rPr>
        <w:t>II.</w:t>
      </w:r>
    </w:p>
    <w:p>
      <w:pPr>
        <w:pStyle w:val="Heading1"/>
        <w:spacing w:lineRule="auto" w:line="360"/>
        <w:ind w:hanging="0" w:start="0"/>
        <w:rPr/>
      </w:pPr>
      <w:r>
        <w:rPr/>
        <w:t>SPECIFICATION OF ERROR</w:t>
      </w:r>
    </w:p>
    <w:p>
      <w:pPr>
        <w:pStyle w:val="Normal"/>
        <w:spacing w:lineRule="auto" w:line="360"/>
        <w:jc w:val="both"/>
        <w:rPr/>
      </w:pPr>
      <w:r>
        <w:rPr>
          <w:sz w:val="24"/>
        </w:rPr>
        <w:tab/>
        <w:t xml:space="preserve">The Commission erred in imposing a condition which prohibits Transwestern from acquiring PNM capacity during peak periods because the condition unnecessarily limits Transwestern's ability to acquire PNM capacity.  The Commission stated that such condition was necessary to avoid a detrimental impact on firm shippers on Transwestern by precluding Transwestern from acquiring interruptible capacity on PNM during the peak period and repackaging it as firm capacity on Transwestern.  However, the Commission's  rationale regarding the integrity of firm service on Transwestern could be addressed through a less restrictive condition, </w:t>
      </w:r>
      <w:r>
        <w:rPr>
          <w:sz w:val="24"/>
          <w:u w:val="single"/>
        </w:rPr>
        <w:t>i.e.</w:t>
      </w:r>
      <w:r>
        <w:rPr>
          <w:sz w:val="24"/>
        </w:rPr>
        <w:t>, that Transwestern not repackage interruptible capacity on PNM as firm capacity.  The Commission’s failure to tailor the condition to address the facts and its expressed rationale is arbitrary, capricious and not reasoned decisionmaking.  It also is unduly discriminatory in that such a condition was not imposed in other cases wherein the Commission has authorized pipelines to acquire off-system capacity.</w:t>
      </w:r>
    </w:p>
    <w:p>
      <w:pPr>
        <w:pStyle w:val="Heading1"/>
        <w:spacing w:lineRule="auto" w:line="360"/>
        <w:ind w:hanging="0" w:start="0"/>
        <w:rPr/>
      </w:pPr>
      <w:r>
        <w:rPr/>
        <w:t>III.</w:t>
      </w:r>
    </w:p>
    <w:p>
      <w:pPr>
        <w:pStyle w:val="Heading1"/>
        <w:spacing w:lineRule="auto" w:line="360"/>
        <w:ind w:hanging="0" w:start="0"/>
        <w:rPr/>
      </w:pPr>
      <w:r>
        <w:rPr/>
        <w:t>ARGUMENT</w:t>
      </w:r>
    </w:p>
    <w:p>
      <w:pPr>
        <w:pStyle w:val="BodyText2"/>
        <w:rPr/>
      </w:pPr>
      <w:r>
        <w:rPr/>
        <w:tab/>
        <w:t>The Commission imposed the condition restricting the acquisition of PNM capacity to non-peak periods because of a concern that Transwestern might try to repackage interruptible capacity it acquires from PNM as firm capacity under its tariff.  Transwestern agrees that an interstate pipeline should be prohibited from acquiring interruptible capacity from another pipeline and repackaging it as firm, as this violates the pipeline's obligation to provide firm service to shippers that have purchased firm service.  However, the Commission went too far when it restricted Transwestern's acquisition of PNM capacity to the non-peak summer season, which apparently is based on the erroneous conclusion that firm capacity will never be available during peak periods. While it is true that at the time of the technical conference PNM's firm capacity was sold out for the peak season, it is possible that firm capacity could become available in subsequent years through system expansions or could become available at any time through release or other relinquishment of capacity by current shippers on PNM.  The Commission's limitation erroneously prevents Transwestern from acquiring firm capacity if it becomes available during the peak period.  The condition imposes a blanket exclusion that is unnecessarily restrictive and does not correspond to the facts or the Commission’s rationale.  As the Commission stated, the relevant issue is whether Transwestern is acquiring interruptible capacity for use in providing firm service:</w:t>
      </w:r>
    </w:p>
    <w:p>
      <w:pPr>
        <w:pStyle w:val="BodyText2"/>
        <w:spacing w:lineRule="auto" w:line="240"/>
        <w:ind w:start="1440" w:end="1440"/>
        <w:rPr/>
      </w:pPr>
      <w:r>
        <w:rPr/>
        <w:t>To avoid a situation which may be detrimental to existing firm shippers on Transwestern, Transwestern may not repackage upstream interruptible capacity as firm capacity on its system.</w:t>
      </w:r>
      <w:r>
        <w:rPr>
          <w:rStyle w:val="FootnoteCharacters"/>
          <w:rStyle w:val="FootnoteReference"/>
        </w:rPr>
        <w:footnoteReference w:id="2"/>
      </w:r>
    </w:p>
    <w:p>
      <w:pPr>
        <w:pStyle w:val="BodyText2"/>
        <w:spacing w:lineRule="auto" w:line="240"/>
        <w:ind w:start="1440" w:end="1440"/>
        <w:rPr/>
      </w:pPr>
      <w:r>
        <w:rPr/>
      </w:r>
    </w:p>
    <w:p>
      <w:pPr>
        <w:pStyle w:val="BodyText2"/>
        <w:rPr/>
      </w:pPr>
      <w:r>
        <w:rPr/>
        <w:t>In order for the condition to correspond to the facts and the Commission’s rationale, an appropriate limitation in Transwestern's tariff would address whether the capacity acquired is firm or interruptible, not whether it is acquired during the peak or non-peak period.  Instead, the condition imposes a blanket prohibition against the purchase of firm capacity in the peak period, which would in fact be utilized to provide service on Transwestern on a basis entirely consistent with the Commission’s rationale that firm service on Transwestern not be degraded because of interruptions in interruptible capacity acquired by Transwestern on PNM.  If firm service does become available on PNM during the peak period, it can be utilized to provide firm service on Transwestern on the same basis as firm capacity acquired on PNM during the off-period, with no degradation of firm service on Transwestern.</w:t>
      </w:r>
    </w:p>
    <w:p>
      <w:pPr>
        <w:pStyle w:val="Normal"/>
        <w:spacing w:lineRule="auto" w:line="360"/>
        <w:jc w:val="both"/>
        <w:rPr/>
      </w:pPr>
      <w:r>
        <w:rPr>
          <w:sz w:val="24"/>
        </w:rPr>
        <w:tab/>
        <w:t>In addition, the condition is unduly discriminatory.  In granting authorization for other pipelines to acquire off-system capacity, the Commission has not prohibited them from acquiring firm capacity in the peak season.</w:t>
      </w:r>
      <w:r>
        <w:rPr>
          <w:rStyle w:val="FootnoteCharacters"/>
          <w:rStyle w:val="FootnoteReference"/>
          <w:sz w:val="24"/>
        </w:rPr>
        <w:footnoteReference w:id="3"/>
      </w:r>
      <w:r>
        <w:rPr>
          <w:sz w:val="24"/>
        </w:rPr>
        <w:t xml:space="preserve">  Transwestern should be treated similarly.  Whenever firm capacity is available, regardless of whether it is the peak season or the off-peak season, Transwestern should have the same opportunity to acquire such capacity as other shippers, just as in the case of other pipelines that have been authorized to acquire off-system capacity.  As discussed above, by revising the condition to address interruptible capacity, not the time period, the condition will comport with the facts and the Commission’s rationale, and be consistent with the Commission’s orders authorizing other pipelines to acquire off-system capacity.</w:t>
      </w:r>
    </w:p>
    <w:p>
      <w:pPr>
        <w:pStyle w:val="Normal"/>
        <w:spacing w:lineRule="auto" w:line="360"/>
        <w:jc w:val="both"/>
        <w:rPr>
          <w:sz w:val="24"/>
        </w:rPr>
      </w:pPr>
      <w:r>
        <w:rPr>
          <w:sz w:val="24"/>
        </w:rPr>
      </w:r>
    </w:p>
    <w:p>
      <w:pPr>
        <w:pStyle w:val="Normal"/>
        <w:spacing w:lineRule="auto" w:line="360"/>
        <w:jc w:val="center"/>
        <w:rPr>
          <w:b/>
          <w:sz w:val="24"/>
        </w:rPr>
      </w:pPr>
      <w:r>
        <w:rPr>
          <w:b/>
          <w:sz w:val="24"/>
        </w:rPr>
        <w:t>IV</w:t>
      </w:r>
    </w:p>
    <w:p>
      <w:pPr>
        <w:pStyle w:val="Normal"/>
        <w:spacing w:lineRule="auto" w:line="360"/>
        <w:jc w:val="center"/>
        <w:rPr>
          <w:b/>
          <w:sz w:val="24"/>
        </w:rPr>
      </w:pPr>
      <w:r>
        <w:rPr>
          <w:b/>
          <w:sz w:val="24"/>
        </w:rPr>
        <w:t>CONCLUSION</w:t>
      </w:r>
    </w:p>
    <w:p>
      <w:pPr>
        <w:pStyle w:val="Normal"/>
        <w:spacing w:lineRule="auto" w:line="360"/>
        <w:jc w:val="both"/>
        <w:rPr>
          <w:sz w:val="24"/>
        </w:rPr>
      </w:pPr>
      <w:r>
        <w:rPr>
          <w:sz w:val="24"/>
        </w:rPr>
        <w:tab/>
        <w:t>Wherefore, for the reasons stated above, Transwestern respectfully requests that the Commission grant limited rehearing of the September 15 Order, and modify the order to:  (1) remove the condition limiting Transwestern's acquisition of PNM capacity to the non-peak summer period and 2) require that Transwestern may not acquire interruptible capacity from PNM for use in providing firm service.</w:t>
      </w:r>
    </w:p>
    <w:p>
      <w:pPr>
        <w:pStyle w:val="Normal"/>
        <w:spacing w:lineRule="auto" w:line="360"/>
        <w:rPr>
          <w:sz w:val="24"/>
        </w:rPr>
      </w:pPr>
      <w:r>
        <w:rPr>
          <w:sz w:val="24"/>
        </w:rPr>
      </w:r>
    </w:p>
    <w:p>
      <w:pPr>
        <w:pStyle w:val="Normal"/>
        <w:tabs>
          <w:tab w:val="clear" w:pos="720"/>
          <w:tab w:val="left" w:pos="4320" w:leader="none"/>
        </w:tabs>
        <w:jc w:val="both"/>
        <w:rPr>
          <w:sz w:val="24"/>
        </w:rPr>
      </w:pPr>
      <w:r>
        <w:rPr>
          <w:sz w:val="24"/>
        </w:rPr>
        <w:tab/>
        <w:t>Respectfully submitted,</w:t>
      </w:r>
    </w:p>
    <w:p>
      <w:pPr>
        <w:pStyle w:val="Normal"/>
        <w:tabs>
          <w:tab w:val="clear" w:pos="720"/>
          <w:tab w:val="left" w:pos="4320" w:leader="none"/>
        </w:tabs>
        <w:jc w:val="both"/>
        <w:rPr>
          <w:sz w:val="24"/>
        </w:rPr>
      </w:pPr>
      <w:r>
        <w:rPr>
          <w:sz w:val="24"/>
        </w:rPr>
      </w:r>
    </w:p>
    <w:p>
      <w:pPr>
        <w:pStyle w:val="Normal"/>
        <w:tabs>
          <w:tab w:val="clear" w:pos="720"/>
          <w:tab w:val="left" w:pos="4320" w:leader="none"/>
        </w:tabs>
        <w:spacing w:lineRule="auto" w:line="360"/>
        <w:jc w:val="both"/>
        <w:rPr>
          <w:sz w:val="24"/>
        </w:rPr>
      </w:pPr>
      <w:r>
        <w:rPr>
          <w:sz w:val="24"/>
        </w:rPr>
        <w:tab/>
        <w:t>TRANSWESTERN PIPELINE COMPANY</w:t>
      </w:r>
    </w:p>
    <w:p>
      <w:pPr>
        <w:pStyle w:val="Normal"/>
        <w:tabs>
          <w:tab w:val="clear" w:pos="720"/>
          <w:tab w:val="left" w:pos="-720" w:leader="none"/>
        </w:tabs>
        <w:suppressAutoHyphens w:val="true"/>
        <w:jc w:val="both"/>
        <w:rPr>
          <w:spacing w:val="-3"/>
          <w:sz w:val="24"/>
        </w:rPr>
      </w:pPr>
      <w:r>
        <w:rPr>
          <w:spacing w:val="-3"/>
          <w:sz w:val="24"/>
        </w:rPr>
        <w:tab/>
        <w:tab/>
        <w:tab/>
        <w:tab/>
        <w:tab/>
        <w:tab/>
        <w:t>____________________________________</w:t>
      </w:r>
    </w:p>
    <w:p>
      <w:pPr>
        <w:pStyle w:val="Normal"/>
        <w:tabs>
          <w:tab w:val="clear" w:pos="720"/>
          <w:tab w:val="left" w:pos="-720" w:leader="none"/>
        </w:tabs>
        <w:suppressAutoHyphens w:val="true"/>
        <w:jc w:val="both"/>
        <w:rPr>
          <w:spacing w:val="-3"/>
          <w:sz w:val="24"/>
        </w:rPr>
      </w:pPr>
      <w:r>
        <w:rPr>
          <w:spacing w:val="-3"/>
          <w:sz w:val="24"/>
        </w:rPr>
        <w:tab/>
        <w:tab/>
        <w:tab/>
        <w:tab/>
        <w:tab/>
        <w:tab/>
        <w:t>Susan Scott</w:t>
      </w:r>
    </w:p>
    <w:p>
      <w:pPr>
        <w:pStyle w:val="Normal"/>
        <w:tabs>
          <w:tab w:val="clear" w:pos="720"/>
          <w:tab w:val="left" w:pos="-720" w:leader="none"/>
        </w:tabs>
        <w:suppressAutoHyphens w:val="true"/>
        <w:jc w:val="both"/>
        <w:rPr>
          <w:spacing w:val="-3"/>
          <w:sz w:val="24"/>
        </w:rPr>
      </w:pPr>
      <w:r>
        <w:rPr>
          <w:spacing w:val="-3"/>
          <w:sz w:val="24"/>
        </w:rPr>
        <w:tab/>
        <w:tab/>
        <w:tab/>
        <w:tab/>
        <w:tab/>
        <w:tab/>
        <w:t>Senior Counsel</w:t>
      </w:r>
    </w:p>
    <w:p>
      <w:pPr>
        <w:pStyle w:val="Heading2"/>
        <w:ind w:hanging="0" w:start="0"/>
        <w:rPr/>
      </w:pPr>
      <w:r>
        <w:rPr/>
        <w:tab/>
        <w:tab/>
        <w:tab/>
        <w:tab/>
        <w:tab/>
        <w:tab/>
        <w:t>Transwestern Pipeline Company</w:t>
      </w:r>
    </w:p>
    <w:p>
      <w:pPr>
        <w:pStyle w:val="Heading2"/>
        <w:ind w:hanging="0" w:start="0"/>
        <w:rPr/>
      </w:pPr>
      <w:r>
        <w:rPr/>
        <w:tab/>
        <w:tab/>
        <w:tab/>
        <w:tab/>
        <w:tab/>
        <w:tab/>
        <w:t>P. O. Box 1188</w:t>
      </w:r>
    </w:p>
    <w:p>
      <w:pPr>
        <w:pStyle w:val="Normal"/>
        <w:tabs>
          <w:tab w:val="clear" w:pos="720"/>
          <w:tab w:val="left" w:pos="-720" w:leader="none"/>
        </w:tabs>
        <w:suppressAutoHyphens w:val="true"/>
        <w:jc w:val="both"/>
        <w:rPr>
          <w:spacing w:val="-3"/>
          <w:sz w:val="24"/>
        </w:rPr>
      </w:pPr>
      <w:r>
        <w:rPr>
          <w:spacing w:val="-3"/>
          <w:sz w:val="24"/>
        </w:rPr>
        <w:tab/>
        <w:tab/>
        <w:tab/>
        <w:tab/>
        <w:tab/>
        <w:tab/>
        <w:t>Houston, Texas  77251-1188</w:t>
      </w:r>
    </w:p>
    <w:p>
      <w:pPr>
        <w:pStyle w:val="Normal"/>
        <w:tabs>
          <w:tab w:val="clear" w:pos="720"/>
          <w:tab w:val="left" w:pos="-720" w:leader="none"/>
        </w:tabs>
        <w:suppressAutoHyphens w:val="true"/>
        <w:jc w:val="both"/>
        <w:rPr>
          <w:sz w:val="24"/>
        </w:rPr>
      </w:pPr>
      <w:r>
        <w:rPr>
          <w:sz w:val="24"/>
        </w:rPr>
        <w:tab/>
        <w:tab/>
        <w:tab/>
        <w:tab/>
        <w:tab/>
        <w:tab/>
        <w:t>(713) 853-0596</w:t>
      </w:r>
    </w:p>
    <w:p>
      <w:pPr>
        <w:pStyle w:val="Normal"/>
        <w:tabs>
          <w:tab w:val="clear" w:pos="720"/>
          <w:tab w:val="left" w:pos="-720" w:leader="none"/>
        </w:tabs>
        <w:suppressAutoHyphens w:val="true"/>
        <w:jc w:val="both"/>
        <w:rPr>
          <w:sz w:val="24"/>
        </w:rPr>
      </w:pPr>
      <w:r>
        <w:rPr>
          <w:sz w:val="24"/>
        </w:rPr>
        <w:tab/>
        <w:tab/>
        <w:tab/>
        <w:tab/>
        <w:tab/>
        <w:tab/>
      </w:r>
      <w:hyperlink r:id="rId2">
        <w:r>
          <w:rPr>
            <w:rStyle w:val="Hyperlink"/>
          </w:rPr>
          <w:t>susan.scott@enron.com</w:t>
        </w:r>
      </w:hyperlink>
    </w:p>
    <w:p>
      <w:pPr>
        <w:pStyle w:val="Normal"/>
        <w:tabs>
          <w:tab w:val="clear" w:pos="720"/>
          <w:tab w:val="left" w:pos="-720" w:leader="none"/>
        </w:tabs>
        <w:suppressAutoHyphens w:val="true"/>
        <w:jc w:val="both"/>
        <w:rPr>
          <w:sz w:val="24"/>
        </w:rPr>
      </w:pPr>
      <w:r>
        <w:rPr>
          <w:sz w:val="24"/>
        </w:rPr>
      </w:r>
      <w:r>
        <w:br w:type="page"/>
      </w:r>
    </w:p>
    <w:p>
      <w:pPr>
        <w:pStyle w:val="Normal"/>
        <w:jc w:val="center"/>
        <w:rPr>
          <w:sz w:val="24"/>
        </w:rPr>
      </w:pPr>
      <w:r>
        <w:rPr>
          <w:sz w:val="24"/>
          <w:u w:val="single"/>
        </w:rPr>
        <w:t>CERTIFICATE OF SERVICE</w:t>
      </w:r>
    </w:p>
    <w:p>
      <w:pPr>
        <w:pStyle w:val="Normal"/>
        <w:jc w:val="both"/>
        <w:rPr>
          <w:sz w:val="24"/>
        </w:rPr>
      </w:pPr>
      <w:r>
        <w:rPr>
          <w:sz w:val="24"/>
        </w:rPr>
      </w:r>
    </w:p>
    <w:p>
      <w:pPr>
        <w:pStyle w:val="Normal"/>
        <w:spacing w:lineRule="auto" w:line="360"/>
        <w:jc w:val="both"/>
        <w:rPr>
          <w:sz w:val="24"/>
        </w:rPr>
      </w:pPr>
      <w:r>
        <w:rPr>
          <w:sz w:val="24"/>
        </w:rPr>
        <w:tab/>
        <w:t>I hereby certify that I have this day served the foregoing document upon each person designated on the official service list compiled by the Secretary in this proceeding.</w:t>
      </w:r>
    </w:p>
    <w:p>
      <w:pPr>
        <w:pStyle w:val="Normal"/>
        <w:spacing w:lineRule="auto" w:line="360"/>
        <w:jc w:val="both"/>
        <w:rPr/>
      </w:pPr>
      <w:r>
        <w:rPr>
          <w:sz w:val="24"/>
        </w:rPr>
        <w:tab/>
        <w:t>Dated this 16</w:t>
      </w:r>
      <w:r>
        <w:rPr>
          <w:sz w:val="24"/>
          <w:vertAlign w:val="superscript"/>
        </w:rPr>
        <w:t>th</w:t>
      </w:r>
      <w:r>
        <w:rPr>
          <w:sz w:val="24"/>
        </w:rPr>
        <w:t xml:space="preserve"> day of October 2000.</w:t>
      </w:r>
    </w:p>
    <w:p>
      <w:pPr>
        <w:pStyle w:val="Normal"/>
        <w:spacing w:lineRule="auto" w:line="360"/>
        <w:jc w:val="both"/>
        <w:rPr>
          <w:sz w:val="24"/>
        </w:rPr>
      </w:pPr>
      <w:r>
        <w:rPr>
          <w:sz w:val="24"/>
        </w:rPr>
      </w:r>
    </w:p>
    <w:p>
      <w:pPr>
        <w:pStyle w:val="Normal"/>
        <w:spacing w:lineRule="auto" w:line="360"/>
        <w:jc w:val="both"/>
        <w:rPr>
          <w:sz w:val="24"/>
        </w:rPr>
      </w:pPr>
      <w:r>
        <w:rPr>
          <w:sz w:val="24"/>
        </w:rPr>
        <w:tab/>
        <w:tab/>
        <w:tab/>
        <w:tab/>
        <w:tab/>
        <w:tab/>
        <w:t>_______________________________</w:t>
      </w:r>
    </w:p>
    <w:p>
      <w:pPr>
        <w:pStyle w:val="Normal"/>
        <w:spacing w:lineRule="auto" w:line="360"/>
        <w:jc w:val="both"/>
        <w:rPr>
          <w:sz w:val="24"/>
        </w:rPr>
      </w:pPr>
      <w:r>
        <w:rPr>
          <w:sz w:val="24"/>
        </w:rPr>
        <w:tab/>
        <w:tab/>
        <w:tab/>
        <w:tab/>
        <w:tab/>
        <w:tab/>
        <w:t>Susan Scott</w:t>
      </w:r>
    </w:p>
    <w:p>
      <w:pPr>
        <w:pStyle w:val="Normal"/>
        <w:tabs>
          <w:tab w:val="clear" w:pos="720"/>
          <w:tab w:val="left" w:pos="-720" w:leader="none"/>
        </w:tabs>
        <w:suppressAutoHyphens w:val="true"/>
        <w:jc w:val="both"/>
        <w:rPr>
          <w:sz w:val="24"/>
        </w:rPr>
      </w:pPr>
      <w:r>
        <w:rPr>
          <w:sz w:val="24"/>
        </w:rPr>
      </w:r>
    </w:p>
    <w:p>
      <w:pPr>
        <w:pStyle w:val="Normal"/>
        <w:spacing w:lineRule="auto" w:line="360"/>
        <w:rPr>
          <w:sz w:val="24"/>
        </w:rPr>
      </w:pPr>
      <w:r>
        <w:rPr>
          <w:sz w:val="24"/>
        </w:rPr>
      </w:r>
    </w:p>
    <w:sectPr>
      <w:footerReference w:type="default" r:id="rId3"/>
      <w:footerReference w:type="first" r:id="rId4"/>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Mimeo at 7.</w:t>
      </w:r>
    </w:p>
  </w:footnote>
  <w:footnote w:id="3">
    <w:p>
      <w:pPr>
        <w:pStyle w:val="FootnoteText"/>
        <w:rPr/>
      </w:pPr>
      <w:r>
        <w:rPr>
          <w:rStyle w:val="FootnoteCharacters"/>
        </w:rPr>
        <w:footnoteRef/>
      </w:r>
      <w:r>
        <w:rPr/>
        <w:t xml:space="preserve"> </w:t>
      </w:r>
      <w:r>
        <w:rPr>
          <w:u w:val="single"/>
        </w:rPr>
        <w:t>See</w:t>
      </w:r>
      <w:r>
        <w:rPr/>
        <w:t xml:space="preserve">, </w:t>
      </w:r>
      <w:r>
        <w:rPr>
          <w:u w:val="single"/>
        </w:rPr>
        <w:t>e.g.</w:t>
      </w:r>
      <w:r>
        <w:rPr/>
        <w:t xml:space="preserve">, </w:t>
      </w:r>
      <w:r>
        <w:rPr>
          <w:u w:val="single"/>
        </w:rPr>
        <w:t>Reliant Energy Gas Transmission Company</w:t>
      </w:r>
      <w:r>
        <w:rPr/>
        <w:t>, 92 FERC ¶ 61,086 (2000).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720" w:leader="none"/>
      </w:tabs>
      <w:suppressAutoHyphens w:val="true"/>
      <w:jc w:val="both"/>
      <w:outlineLvl w:val="1"/>
    </w:pPr>
    <w:rPr>
      <w:spacing w:val="-3"/>
      <w:sz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rFonts w:ascii="CG Times" w:hAnsi="CG Times" w:cs="CG Times"/>
      <w:sz w:val="24"/>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san.scott@enron.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2000-10-13T13:51:00Z</dcterms:created>
  <dc:creator>Susan Scott</dc:creator>
  <dc:description/>
  <dc:language>en-CA</dc:language>
  <cp:lastModifiedBy>Susan Scott</cp:lastModifiedBy>
  <cp:lastPrinted>2000-10-16T08:51:00Z</cp:lastPrinted>
  <dcterms:modified xsi:type="dcterms:W3CDTF">2000-10-16T11:40:00Z</dcterms:modified>
  <cp:revision>5</cp:revision>
  <dc:subject/>
  <dc:title>UNITED STATES OF AMERICA</dc:title>
</cp:coreProperties>
</file>