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July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REDIBook ECN LLC</w:t>
      </w:r>
    </w:p>
    <w:p>
      <w:pPr>
        <w:pStyle w:val="Normal"/>
        <w:jc w:val="both"/>
        <w:rPr>
          <w:rFonts w:ascii="Times New Roman" w:hAnsi="Times New Roman" w:cs="Times New Roman"/>
          <w:sz w:val="22"/>
        </w:rPr>
      </w:pPr>
      <w:r>
        <w:rPr>
          <w:rFonts w:cs="Times New Roman" w:ascii="Times New Roman" w:hAnsi="Times New Roman"/>
          <w:sz w:val="22"/>
        </w:rPr>
        <w:t>10 Exchange Place</w:t>
      </w:r>
    </w:p>
    <w:p>
      <w:pPr>
        <w:pStyle w:val="Normal"/>
        <w:jc w:val="both"/>
        <w:rPr/>
      </w:pPr>
      <w:r>
        <w:rPr>
          <w:rFonts w:cs="Times New Roman" w:ascii="Times New Roman" w:hAnsi="Times New Roman"/>
          <w:sz w:val="22"/>
        </w:rPr>
        <w:t>9</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Jersey City, NY  07302</w:t>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REDIBook ECN LLC and Enron North America Corp., Enron Net Works LLC and EnronOnline LLC (hereinafter individually and collectively referred to as a party) are prepared to furnish each other with information in connection with a possible transaction or other business relationship (“Transaction”) involving an Enron website (the "Confidential Information").  The term "Confidential Information" shall, with respect to the receiving party, not include information (a) that was delivered in anticipation of disclosure on the Enron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REDIBOOK ECN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/mnt/main-storage/datasets/enron-docs/doc/redibook-277d2d7b80def3222ce44fb0646c1cc49e0dbc890b9dea87be51f3c35a8caa74.doc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REDIBook ECN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2000-07-12T19:31:00Z</dcterms:created>
  <dc:creator>ECT</dc:creator>
  <dc:description/>
  <dc:language>en-CA</dc:language>
  <cp:lastModifiedBy>tjones</cp:lastModifiedBy>
  <cp:lastPrinted>2000-07-12T17:03:00Z</cp:lastPrinted>
  <dcterms:modified xsi:type="dcterms:W3CDTF">2000-07-12T19:35:00Z</dcterms:modified>
  <cp:revision>5</cp:revision>
  <dc:subject/>
  <dc:title>Reciprocal Confidentiality Agreement</dc:title>
</cp:coreProperties>
</file>