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sz w:val="20"/>
        </w:rPr>
      </w:pPr>
      <w:r>
        <w:rPr>
          <w:sz w:val="20"/>
        </w:rPr>
        <w:t>The purpose of this letter (this “Confirmation”) is to confirm the terms and conditions of the transaction entered into between Harrier I LLC (“Party A”) and Talon I LLC (“Party B”) on the Trade Date specified below (the “Transaction”).  This Confirmation supplements, forms part of, and is subject to, the ISDA Master Agreement dated as of April 18,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t xml:space="preserve">The earlier of </w:t>
      </w:r>
      <w:r>
        <w:rPr/>
        <w:t xml:space="preserve">August 3, 2003 </w:t>
      </w:r>
      <w:r>
        <w:rPr>
          <w:lang w:val="en-US"/>
        </w:rPr>
        <w:t>or any day on which a Notice is sent designating an amount of Shares that, when added to the amounts of Shares designated in all other Notices, equals 1,093,426.</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t>Avici Systems common stock (ticker symbol: AVCI)</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t>NASDAQ</w:t>
      </w:r>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pPr>
      <w:r>
        <w:rPr/>
        <w:t>Related Exchange:</w:t>
        <w:tab/>
        <w:t>The exchange or quotation systems, if any, on which options or futures contracts on the Shares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New York and 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clear" w:pos="3600"/>
          <w:tab w:val="clear" w:pos="4320"/>
          <w:tab w:val="clear" w:pos="5086"/>
          <w:tab w:val="left" w:pos="0" w:leader="none"/>
          <w:tab w:val="right" w:pos="1191" w:leader="none"/>
        </w:tabs>
        <w:rPr/>
      </w:pPr>
      <w:r>
        <w:rPr/>
        <w:t>Number of Shares:</w:t>
        <w:tab/>
        <w:t>The amount of Shares designated in a Notice, provided that in no event shall the aggregate amount of all Shares designated in all Notices exceed 1,093,426</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Initial Equity Notional Amount:</w:t>
        <w:tab/>
        <w:t>USD 177,681,725</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lang w:val="en-US"/>
        </w:rPr>
      </w:pPr>
      <w:r>
        <w:rPr>
          <w:lang w:val="en-US"/>
        </w:rPr>
        <w:t>Initial Price:</w:t>
        <w:tab/>
        <w:tab/>
        <w:t>Notwithstanding §7.9 of the Equity Derivative Definitions, the Initial Price shall be USD 162.5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lang w:val="en-US"/>
        </w:rPr>
      </w:pPr>
      <w:r>
        <w:rPr>
          <w:lang w:val="en-US"/>
        </w:rPr>
        <w:t>Final Price:</w:t>
        <w:tab/>
        <w:t>The closing price per Share quoted by the Exchange</w:t>
      </w:r>
    </w:p>
    <w:p>
      <w:pPr>
        <w:pStyle w:val="Normal"/>
        <w:tabs>
          <w:tab w:val="clear" w:pos="720"/>
          <w:tab w:val="left" w:pos="4320" w:leader="none"/>
        </w:tabs>
        <w:rPr>
          <w:lang w:val="en-US"/>
        </w:rPr>
      </w:pPr>
      <w:r>
        <w:rPr>
          <w:lang w:val="en-US"/>
        </w:rPr>
      </w:r>
    </w:p>
    <w:p>
      <w:pPr>
        <w:pStyle w:val="BodyTextIndent"/>
        <w:rPr/>
      </w:pPr>
      <w:r>
        <w:rPr/>
        <w:t>Valuation Time:</w:t>
        <w:tab/>
        <w:t>At the close of trading on the Exchange</w:t>
      </w:r>
    </w:p>
    <w:p>
      <w:pPr>
        <w:pStyle w:val="Normal"/>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5086"/>
          <w:tab w:val="left" w:pos="4320" w:leader="none"/>
          <w:tab w:val="right" w:pos="5691" w:leader="none"/>
        </w:tabs>
        <w:rPr/>
      </w:pPr>
      <w:r>
        <w:rPr/>
        <w:t>Valuation Date:</w:t>
        <w:tab/>
        <w:t xml:space="preserve"> 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1,093,426 less all Shares previously designated by either party in all prior Notices.</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4320" w:start="4320" w:end="0"/>
        <w:rPr>
          <w:lang w:val="en-US"/>
        </w:rPr>
      </w:pPr>
      <w:r>
        <w:rPr>
          <w:lang w:val="en-US"/>
        </w:rPr>
        <w:t>Equity Amount:</w:t>
        <w:tab/>
        <w:t>“Equity Amount” means, in respect of each Equity Payment Date, an amount determined by the Calculation Agent as of each Valuation Date to which the Equity Payment Date relates.equal to:</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where the “Rate of Return”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rPr>
          <w:lang w:val="en-US"/>
        </w:rPr>
      </w:pPr>
      <w:r>
        <w:rPr>
          <w:lang w:val="en-US"/>
        </w:rPr>
      </w:r>
    </w:p>
    <w:p>
      <w:pPr>
        <w:pStyle w:val="Normal"/>
        <w:numPr>
          <w:ilvl w:val="0"/>
          <w:numId w:val="2"/>
        </w:numPr>
        <w:tabs>
          <w:tab w:val="clear" w:pos="720"/>
          <w:tab w:val="left" w:pos="4320" w:leader="none"/>
        </w:tabs>
        <w:rPr>
          <w:lang w:val="en-US"/>
        </w:rPr>
      </w:pPr>
      <w:r>
        <w:rPr>
          <w:lang w:val="en-US"/>
        </w:rPr>
        <w:t>if the Equity Amount determined by the Calculation Agent in relation to Party A is a positive number, then Party A will pay to Party B the Equity Amount on that Equity Payment Date; and</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5760" w:start="5760" w:end="0"/>
        <w:rPr>
          <w:lang w:val="en-US"/>
        </w:rPr>
      </w:pPr>
      <w:r>
        <w:rPr>
          <w:lang w:val="en-US"/>
        </w:rPr>
        <w:tab/>
        <w:t xml:space="preserve">               (ii)</w:t>
        <w:tab/>
        <w:t>if the Equity Amount determined by the Calculation Agent in relation to Party A is a negative number, then Party B will pay to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pPr>
      <w:r>
        <w:rPr/>
        <w:t>Title:</w:t>
      </w:r>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2000-09-07T20:58:00Z</dcterms:created>
  <dc:creator>Shari Stack</dc:creator>
  <dc:description/>
  <dc:language>en-CA</dc:language>
  <cp:lastModifiedBy>sshackl</cp:lastModifiedBy>
  <cp:lastPrinted>2000-09-07T16:58:00Z</cp:lastPrinted>
  <dcterms:modified xsi:type="dcterms:W3CDTF">2000-09-07T21:00:00Z</dcterms:modified>
  <cp:revision>3</cp:revision>
  <dc:subject/>
  <dc:title>Confirmation of OTC Equity</dc:title>
</cp:coreProperties>
</file>