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rPr/>
      </w:pPr>
      <w:r>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either party to the other party with respect to a designated Number of Shares specified in the notice (the "Notice").  For the avoidance of doubt, a Notice shall be sent from either party to the other party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2000-09-07T19:27:00Z</dcterms:created>
  <dc:creator>Shari Stack</dc:creator>
  <dc:description/>
  <dc:language>en-CA</dc:language>
  <cp:lastModifiedBy>sshackl</cp:lastModifiedBy>
  <cp:lastPrinted>2000-09-07T16:58:00Z</cp:lastPrinted>
  <dcterms:modified xsi:type="dcterms:W3CDTF">2000-09-07T19:28:00Z</dcterms:modified>
  <cp:revision>3</cp:revision>
  <dc:subject/>
  <dc:title>Confirmation of OTC Equity</dc:title>
</cp:coreProperties>
</file>