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10 September,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RADR EMP, L.L.C.</w:t>
      </w:r>
      <w:r>
        <w:rPr/>
        <w:t xml:space="preserve">  as of 10 September,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Attorney:</w:t>
              <w:br/>
              <w:t>Legal Assistant:</w:t>
              <w:br/>
              <w:t>Articles 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1741 RADR</w:t>
              <w:br/>
              <w:t>Delaware</w:t>
              <w:br/>
              <w:t>EWS-ENA</w:t>
              <w:br/>
              <w:t>NONE</w:t>
              <w:br/>
              <w:t>9/10/2001</w:t>
              <w:br/>
              <w:t>BFunk</w:t>
              <w:br/>
              <w:t>MTrevino</w:t>
              <w:br/>
              <w:t>LLC Agreement: 8/31/2001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This entity is subject to FERC reporting requirements.  NOTIFY FRAZIER KING IMMEDIATELY re any name change, ownership change, change to its business purpose or pending dissolution.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rPr/>
            </w:pPr>
            <w:r>
              <w:rPr/>
              <w:t>Houston, TX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To be changed to NRAI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8"/>
      </w:tblGrid>
      <w:tr>
        <w:trPr/>
        <w:tc>
          <w:tcPr>
            <w:tcW w:w="2628" w:type="dxa"/>
            <w:tcBorders/>
          </w:tcPr>
          <w:p>
            <w:pPr>
              <w:pStyle w:val="Normal"/>
              <w:rPr/>
            </w:pPr>
            <w:r>
              <w:rPr/>
              <w:t>Date of Original Regulations:</w:t>
            </w:r>
          </w:p>
        </w:tc>
        <w:tc>
          <w:tcPr>
            <w:tcW w:w="8388" w:type="dxa"/>
            <w:tcBorders/>
          </w:tcPr>
          <w:p>
            <w:pPr>
              <w:pStyle w:val="Normal"/>
              <w:rPr/>
            </w:pPr>
            <w:r>
              <w:rPr/>
              <w:t>31 August,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rPr/>
            </w:pPr>
            <w:r>
              <w:rPr/>
              <w:t>Date of Last Amendment: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rPr/>
            </w:pPr>
            <w:r>
              <w:rPr/>
              <w:t>Termination Date: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ind w:start="720" w:end="720"/>
        <w:rPr/>
      </w:pPr>
      <w:r>
        <w:rPr/>
        <w:t>Acquired to unwind financing structure to facilitate sale of Southwest Power, L.L.C.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olhead"/>
          <w:rFonts w:cs="Times New Roman"/>
        </w:rPr>
        <w:t>PARTNERSHIP/LLC INTERESTS</w:t>
      </w:r>
    </w:p>
    <w:p>
      <w:pPr>
        <w:pStyle w:val="Normal"/>
        <w:rPr/>
      </w:pPr>
      <w:r>
        <w:rPr>
          <w:rStyle w:val="colhead"/>
        </w:rPr>
        <w:t>Limited Liability Company - see Narratives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1890"/>
        <w:gridCol w:w="4050"/>
      </w:tblGrid>
      <w:tr>
        <w:trPr/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br/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Units Currently Held: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rPr/>
            </w:pPr>
            <w:r>
              <w:rPr/>
              <w:br/>
              <w:br/>
              <w:b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>
                <w:rFonts w:cs="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" w:hAnsi="Times New Roman" w:cs="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3087160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23 August, 1999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The Corporation Trust Company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head"/>
          <w:rFonts w:cs="Times New Roman"/>
        </w:rPr>
        <w:t>NARRATIVES</w:t>
      </w:r>
    </w:p>
    <w:p>
      <w:pPr>
        <w:pStyle w:val="Normal"/>
        <w:rPr>
          <w:rStyle w:val="colhead"/>
        </w:rPr>
      </w:pPr>
      <w:r>
        <w:rPr/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 xml:space="preserve">8/31/2001 - Company acquired as follows: </w:t>
      </w:r>
    </w:p>
    <w:p>
      <w:pPr>
        <w:pStyle w:val="Normal"/>
        <w:ind w:start="936" w:end="576"/>
        <w:rPr/>
      </w:pPr>
      <w:r>
        <w:rPr/>
        <w:t xml:space="preserve">TLS Investors, L.L.C. - 50% - Class A Member </w:t>
      </w:r>
    </w:p>
    <w:p>
      <w:pPr>
        <w:pStyle w:val="Normal"/>
        <w:ind w:start="936" w:end="576"/>
        <w:rPr/>
      </w:pPr>
      <w:r>
        <w:rPr/>
        <w:t>Joint Energy Development Investments II Limited Partnership - 50% - Class B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2001-09-10T19:17:00Z</dcterms:created>
  <dc:creator>Steven D. Gullion</dc:creator>
  <dc:description/>
  <dc:language>en-CA</dc:language>
  <cp:lastModifiedBy>kcole</cp:lastModifiedBy>
  <cp:lastPrinted>2001-09-10T16:44:00Z</cp:lastPrinted>
  <dcterms:modified xsi:type="dcterms:W3CDTF">2001-09-10T19:17:00Z</dcterms:modified>
  <cp:revision>2</cp:revision>
  <dc:subject/>
  <dc:title>     </dc:title>
</cp:coreProperties>
</file>