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Courier" w:hAnsi="Courier" w:eastAsia="Courier" w:cs="Courier"/>
          <w:color w:val="000000"/>
          <w:sz w:val="24"/>
          <w:szCs w:val="24"/>
        </w:rPr>
      </w:pPr>
      <w:r>
        <w:rPr>
          <w:rFonts w:eastAsia="Courier" w:cs="Courier" w:ascii="Courier" w:hAnsi="Courier"/>
          <w:color w:val="000000"/>
          <w:sz w:val="24"/>
          <w:szCs w:val="24"/>
        </w:rPr>
        <w:t>Attachment f:\attachcus\lay-k\LayJune2001\4e8da4e5fec96b419fcc16e7bf298fe2219bf5@nahou-msmbx03v.corp.enron.com.#1.r.doc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