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both"/>
        <w:rPr/>
      </w:pPr>
      <w:r>
        <w:rPr/>
        <w:tab/>
        <w:tab/>
        <w:tab/>
        <w:tab/>
        <w:tab/>
      </w:r>
      <w:r>
        <w:rPr>
          <w:b/>
          <w:sz w:val="24"/>
          <w:u w:val="single"/>
        </w:rPr>
        <w:t>REPO QUESTIONS</w:t>
        <w:tab/>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numPr>
          <w:ilvl w:val="0"/>
          <w:numId w:val="1"/>
        </w:numPr>
        <w:jc w:val="both"/>
        <w:rPr>
          <w:sz w:val="24"/>
        </w:rPr>
      </w:pPr>
      <w:r>
        <w:rPr>
          <w:sz w:val="24"/>
        </w:rPr>
        <w:t>Who will ECT be doing business with and what type of securities will be traded?  Will “foreign” securities be traded or is the counterparty’s office where trades will be done an international location?</w:t>
      </w:r>
    </w:p>
    <w:p>
      <w:pPr>
        <w:pStyle w:val="Normal"/>
        <w:jc w:val="both"/>
        <w:rPr>
          <w:sz w:val="24"/>
        </w:rPr>
      </w:pPr>
      <w:r>
        <w:rPr>
          <w:sz w:val="24"/>
        </w:rPr>
      </w:r>
    </w:p>
    <w:p>
      <w:pPr>
        <w:pStyle w:val="Normal"/>
        <w:numPr>
          <w:ilvl w:val="0"/>
          <w:numId w:val="1"/>
        </w:numPr>
        <w:jc w:val="both"/>
        <w:rPr>
          <w:sz w:val="24"/>
        </w:rPr>
      </w:pPr>
      <w:r>
        <w:rPr>
          <w:sz w:val="24"/>
        </w:rPr>
        <w:t>Who will deliver the confirmations for each trade done?</w:t>
      </w:r>
    </w:p>
    <w:p>
      <w:pPr>
        <w:pStyle w:val="Normal"/>
        <w:jc w:val="both"/>
        <w:rPr>
          <w:sz w:val="24"/>
        </w:rPr>
      </w:pPr>
      <w:r>
        <w:rPr>
          <w:sz w:val="24"/>
        </w:rPr>
      </w:r>
    </w:p>
    <w:p>
      <w:pPr>
        <w:pStyle w:val="Normal"/>
        <w:numPr>
          <w:ilvl w:val="0"/>
          <w:numId w:val="1"/>
        </w:numPr>
        <w:jc w:val="both"/>
        <w:rPr>
          <w:sz w:val="24"/>
        </w:rPr>
      </w:pPr>
      <w:r>
        <w:rPr>
          <w:sz w:val="24"/>
        </w:rPr>
        <w:t>Will there be a “threshold” for margin transfers?</w:t>
      </w:r>
    </w:p>
    <w:p>
      <w:pPr>
        <w:pStyle w:val="Normal"/>
        <w:jc w:val="both"/>
        <w:rPr>
          <w:sz w:val="24"/>
        </w:rPr>
      </w:pPr>
      <w:r>
        <w:rPr>
          <w:sz w:val="24"/>
        </w:rPr>
      </w:r>
    </w:p>
    <w:p>
      <w:pPr>
        <w:pStyle w:val="Normal"/>
        <w:numPr>
          <w:ilvl w:val="0"/>
          <w:numId w:val="1"/>
        </w:numPr>
        <w:jc w:val="both"/>
        <w:rPr>
          <w:sz w:val="24"/>
        </w:rPr>
      </w:pPr>
      <w:r>
        <w:rPr>
          <w:sz w:val="24"/>
        </w:rPr>
        <w:t>What other types of Events of Default should there be?</w:t>
      </w:r>
    </w:p>
    <w:p>
      <w:pPr>
        <w:pStyle w:val="Normal"/>
        <w:jc w:val="both"/>
        <w:rPr>
          <w:sz w:val="24"/>
        </w:rPr>
      </w:pPr>
      <w:r>
        <w:rPr>
          <w:sz w:val="24"/>
        </w:rPr>
      </w:r>
    </w:p>
    <w:p>
      <w:pPr>
        <w:pStyle w:val="Normal"/>
        <w:numPr>
          <w:ilvl w:val="0"/>
          <w:numId w:val="1"/>
        </w:numPr>
        <w:jc w:val="both"/>
        <w:rPr>
          <w:sz w:val="24"/>
        </w:rPr>
      </w:pPr>
      <w:r>
        <w:rPr>
          <w:sz w:val="24"/>
        </w:rPr>
        <w:t>What will be the term of each repo transaction?  Will the transactions be structured as a “term” transaction or a “demand” transaction?</w:t>
      </w:r>
    </w:p>
    <w:p>
      <w:pPr>
        <w:pStyle w:val="Normal"/>
        <w:jc w:val="both"/>
        <w:rPr>
          <w:sz w:val="24"/>
        </w:rPr>
      </w:pPr>
      <w:r>
        <w:rPr>
          <w:sz w:val="24"/>
        </w:rPr>
      </w:r>
    </w:p>
    <w:p>
      <w:pPr>
        <w:pStyle w:val="Normal"/>
        <w:numPr>
          <w:ilvl w:val="0"/>
          <w:numId w:val="1"/>
        </w:numPr>
        <w:jc w:val="both"/>
        <w:rPr>
          <w:sz w:val="24"/>
        </w:rPr>
      </w:pPr>
      <w:r>
        <w:rPr>
          <w:sz w:val="24"/>
        </w:rPr>
        <w:t>Will there be an Enron guaranty, and if so, what will the cap be?  Will Merrill be asked to provide any credit support?</w:t>
      </w:r>
    </w:p>
    <w:p>
      <w:pPr>
        <w:pStyle w:val="Normal"/>
        <w:jc w:val="both"/>
        <w:rPr>
          <w:sz w:val="24"/>
        </w:rPr>
      </w:pPr>
      <w:r>
        <w:rPr>
          <w:sz w:val="24"/>
        </w:rPr>
      </w:r>
    </w:p>
    <w:p>
      <w:pPr>
        <w:pStyle w:val="Normal"/>
        <w:numPr>
          <w:ilvl w:val="0"/>
          <w:numId w:val="1"/>
        </w:numPr>
        <w:jc w:val="both"/>
        <w:rPr>
          <w:sz w:val="24"/>
        </w:rPr>
      </w:pPr>
      <w:r>
        <w:rPr>
          <w:sz w:val="24"/>
        </w:rPr>
        <w:t>Will the “seller” have substitution rights?</w:t>
      </w:r>
    </w:p>
    <w:p>
      <w:pPr>
        <w:pStyle w:val="Normal"/>
        <w:jc w:val="both"/>
        <w:rPr>
          <w:sz w:val="24"/>
        </w:rPr>
      </w:pPr>
      <w:r>
        <w:rPr>
          <w:sz w:val="24"/>
        </w:rPr>
      </w:r>
    </w:p>
    <w:p>
      <w:pPr>
        <w:pStyle w:val="Normal"/>
        <w:numPr>
          <w:ilvl w:val="0"/>
          <w:numId w:val="1"/>
        </w:numPr>
        <w:jc w:val="both"/>
        <w:rPr>
          <w:sz w:val="24"/>
        </w:rPr>
      </w:pPr>
      <w:r>
        <w:rPr>
          <w:sz w:val="24"/>
        </w:rPr>
        <w:t>Should we do separate agreements for Merrill Lynch Government Securities Inc. and Merrill Lynch, Pierce, Fenner &amp; Smith Inc.?</w:t>
      </w:r>
    </w:p>
    <w:p>
      <w:pPr>
        <w:pStyle w:val="Normal"/>
        <w:jc w:val="both"/>
        <w:rPr>
          <w:sz w:val="24"/>
        </w:rPr>
      </w:pPr>
      <w:r>
        <w:rPr>
          <w:sz w:val="24"/>
        </w:rPr>
      </w:r>
    </w:p>
    <w:p>
      <w:pPr>
        <w:pStyle w:val="Normal"/>
        <w:jc w:val="both"/>
        <w:rPr>
          <w:sz w:val="24"/>
        </w:rPr>
      </w:pPr>
      <w:r>
        <w:rPr>
          <w:sz w:val="24"/>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1999-05-03T16:54:00Z</dcterms:created>
  <dc:creator>cstclai</dc:creator>
  <dc:description/>
  <dc:language>en-CA</dc:language>
  <cp:lastModifiedBy>cstclai</cp:lastModifiedBy>
  <cp:lastPrinted>1999-07-07T18:04:00Z</cp:lastPrinted>
  <dcterms:modified xsi:type="dcterms:W3CDTF">1999-07-07T20:34:00Z</dcterms:modified>
  <cp:revision>4</cp:revision>
  <dc:subject/>
  <dc:title/>
</cp:coreProperties>
</file>