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RHM Draft</w:t>
      </w:r>
    </w:p>
    <w:p>
      <w:pPr>
        <w:pStyle w:val="Normal"/>
        <w:jc w:val="end"/>
        <w:rPr/>
      </w:pPr>
      <w:r>
        <w:rPr/>
      </w:r>
    </w:p>
    <w:p>
      <w:pPr>
        <w:pStyle w:val="Normal"/>
        <w:jc w:val="end"/>
        <w:rPr/>
      </w:pPr>
      <w:r>
        <w:rPr/>
      </w:r>
    </w:p>
    <w:p>
      <w:pPr>
        <w:pStyle w:val="Normal"/>
        <w:jc w:val="end"/>
        <w:rPr/>
      </w:pPr>
      <w:r>
        <w:rPr/>
      </w:r>
    </w:p>
    <w:p>
      <w:pPr>
        <w:pStyle w:val="Normal"/>
        <w:jc w:val="end"/>
        <w:rPr/>
      </w:pPr>
      <w:r>
        <w:rPr/>
      </w:r>
    </w:p>
    <w:p>
      <w:pPr>
        <w:pStyle w:val="Normal"/>
        <w:jc w:val="center"/>
        <w:rPr/>
      </w:pPr>
      <w:r>
        <w:rPr/>
        <w:t>July __, 2000</w:t>
      </w:r>
    </w:p>
    <w:p>
      <w:pPr>
        <w:pStyle w:val="Normal"/>
        <w:jc w:val="center"/>
        <w:rPr/>
      </w:pPr>
      <w:r>
        <w:rPr/>
      </w:r>
    </w:p>
    <w:p>
      <w:pPr>
        <w:pStyle w:val="Normal"/>
        <w:jc w:val="center"/>
        <w:rPr/>
      </w:pPr>
      <w:r>
        <w:rPr/>
      </w:r>
    </w:p>
    <w:p>
      <w:pPr>
        <w:pStyle w:val="Normal"/>
        <w:jc w:val="start"/>
        <w:rPr/>
      </w:pPr>
      <w:r>
        <w:rPr/>
        <w:tab/>
      </w:r>
      <w:r>
        <w:rPr>
          <w:b/>
        </w:rPr>
        <w:t>Memorandum to:</w:t>
      </w:r>
      <w:r>
        <w:rPr/>
        <w:tab/>
        <w:t>Carol St. Clair</w:t>
      </w:r>
    </w:p>
    <w:p>
      <w:pPr>
        <w:pStyle w:val="Normal"/>
        <w:jc w:val="start"/>
        <w:rPr/>
      </w:pPr>
      <w:r>
        <w:rPr/>
        <w:tab/>
        <w:tab/>
        <w:tab/>
        <w:tab/>
        <w:t xml:space="preserve">Assistant General Counsel </w:t>
      </w:r>
    </w:p>
    <w:p>
      <w:pPr>
        <w:pStyle w:val="Normal"/>
        <w:jc w:val="start"/>
        <w:rPr/>
      </w:pPr>
      <w:r>
        <w:rPr/>
        <w:tab/>
        <w:tab/>
        <w:tab/>
        <w:tab/>
        <w:t>Enron North America Corp.</w:t>
      </w:r>
    </w:p>
    <w:p>
      <w:pPr>
        <w:pStyle w:val="Normal"/>
        <w:jc w:val="start"/>
        <w:rPr/>
      </w:pPr>
      <w:r>
        <w:rPr/>
      </w:r>
    </w:p>
    <w:p>
      <w:pPr>
        <w:pStyle w:val="Normal"/>
        <w:jc w:val="start"/>
        <w:rPr/>
      </w:pPr>
      <w:r>
        <w:rPr/>
      </w:r>
    </w:p>
    <w:p>
      <w:pPr>
        <w:pStyle w:val="Heading2"/>
        <w:ind w:hanging="0" w:start="0"/>
        <w:rPr/>
      </w:pPr>
      <w:r>
        <w:rPr/>
        <w:t>Enron On-Line Project</w:t>
      </w:r>
    </w:p>
    <w:p>
      <w:pPr>
        <w:pStyle w:val="Normal"/>
        <w:jc w:val="center"/>
        <w:rPr/>
      </w:pPr>
      <w:r>
        <w:rPr/>
      </w:r>
    </w:p>
    <w:p>
      <w:pPr>
        <w:pStyle w:val="Normal"/>
        <w:jc w:val="center"/>
        <w:rPr/>
      </w:pPr>
      <w:r>
        <w:rPr/>
      </w:r>
    </w:p>
    <w:p>
      <w:pPr>
        <w:pStyle w:val="BodyText"/>
        <w:jc w:val="both"/>
        <w:rPr/>
      </w:pPr>
      <w:r>
        <w:rPr/>
        <w:tab/>
        <w:t xml:space="preserve">We make reference to your facsimile letter dated June 14, 2000 regarding Enron On-Line Project, an Internet trading system.  You have asked us what are the limitations under Mexican law in Enron trying to conduct financial and physical trades of commodities with Mexican counterparties.  </w:t>
      </w:r>
    </w:p>
    <w:p>
      <w:pPr>
        <w:pStyle w:val="BodyText"/>
        <w:jc w:val="both"/>
        <w:rPr/>
      </w:pPr>
      <w:r>
        <w:rPr/>
      </w:r>
    </w:p>
    <w:p>
      <w:pPr>
        <w:pStyle w:val="BodyText"/>
        <w:jc w:val="both"/>
        <w:rPr/>
      </w:pPr>
      <w:r>
        <w:rPr/>
        <w:tab/>
        <w:t>As you explained to us, counterparties will be corporations and not individuals.  Such counterparties will enter into a password application agreement (“</w:t>
      </w:r>
      <w:r>
        <w:rPr>
          <w:u w:val="single"/>
        </w:rPr>
        <w:t>PA</w:t>
      </w:r>
      <w:r>
        <w:rPr/>
        <w:t>”), and Electronic Trading Agreement (“</w:t>
      </w:r>
      <w:r>
        <w:rPr>
          <w:u w:val="single"/>
        </w:rPr>
        <w:t>ETA</w:t>
      </w:r>
      <w:r>
        <w:rPr/>
        <w:t>”) and Enron’s General Terms and Conditions (“</w:t>
      </w:r>
      <w:r>
        <w:rPr>
          <w:u w:val="single"/>
        </w:rPr>
        <w:t>GTC’s</w:t>
      </w:r>
      <w:r>
        <w:rPr/>
        <w:t>”).</w:t>
      </w:r>
    </w:p>
    <w:p>
      <w:pPr>
        <w:pStyle w:val="BodyText"/>
        <w:jc w:val="both"/>
        <w:rPr/>
      </w:pPr>
      <w:r>
        <w:rPr/>
      </w:r>
    </w:p>
    <w:p>
      <w:pPr>
        <w:pStyle w:val="BodyText"/>
        <w:ind w:firstLine="708" w:end="0"/>
        <w:jc w:val="both"/>
        <w:rPr/>
      </w:pPr>
      <w:r>
        <w:rPr/>
        <w:t>In particular you have asked us to respond a questionnaire.  Following please find our answers to your specific questions in the order they were posted.</w:t>
      </w:r>
    </w:p>
    <w:p>
      <w:pPr>
        <w:pStyle w:val="BodyText"/>
        <w:rPr/>
      </w:pPr>
      <w:r>
        <w:rPr/>
      </w:r>
    </w:p>
    <w:p>
      <w:pPr>
        <w:pStyle w:val="BodyText"/>
        <w:rPr/>
      </w:pPr>
      <w:r>
        <w:rPr/>
      </w:r>
    </w:p>
    <w:p>
      <w:pPr>
        <w:pStyle w:val="Normal"/>
        <w:ind w:hanging="708" w:start="708" w:end="0"/>
        <w:rPr>
          <w:b/>
        </w:rPr>
      </w:pPr>
      <w:r>
        <w:rPr>
          <w:b/>
        </w:rPr>
        <w:t>1.</w:t>
        <w:tab/>
        <w:t>Choice of law</w:t>
      </w:r>
    </w:p>
    <w:p>
      <w:pPr>
        <w:pStyle w:val="Normal"/>
        <w:ind w:hanging="708" w:start="708" w:end="0"/>
        <w:rPr>
          <w:b/>
        </w:rPr>
      </w:pPr>
      <w:r>
        <w:rPr>
          <w:b/>
        </w:rPr>
      </w:r>
    </w:p>
    <w:p>
      <w:pPr>
        <w:pStyle w:val="Normal"/>
        <w:ind w:hanging="708" w:start="708" w:end="0"/>
        <w:rPr>
          <w:b/>
        </w:rPr>
      </w:pPr>
      <w:r>
        <w:rPr>
          <w:b/>
        </w:rPr>
        <w:tab/>
        <w:t>Generally, the terms and conditions of the Access Agreements and GTC’s will be governed by New York law.  There may be exceptions to this where existing terms and conditions are governed by a different law.  Are there any overriding laws in your jurisdiction, which would impose a different governing law?  If not, can we generally assume that New York law will govern enforcement and formation of these contracts and any trades in your jurisdiction?</w:t>
      </w:r>
    </w:p>
    <w:p>
      <w:pPr>
        <w:pStyle w:val="Normal"/>
        <w:ind w:firstLine="565" w:start="851" w:end="0"/>
        <w:rPr>
          <w:lang w:val="en-GB"/>
        </w:rPr>
      </w:pPr>
      <w:r>
        <w:rPr>
          <w:lang w:val="en-GB"/>
        </w:rPr>
      </w:r>
    </w:p>
    <w:p>
      <w:pPr>
        <w:pStyle w:val="Normal"/>
        <w:ind w:firstLine="565" w:start="851" w:end="0"/>
        <w:rPr/>
      </w:pPr>
      <w:r>
        <w:rPr>
          <w:lang w:val="en-GB"/>
        </w:rPr>
        <w:t>In connection with conflicts of laws, the congress of the United Mexican States (“</w:t>
      </w:r>
      <w:r>
        <w:rPr>
          <w:u w:val="single"/>
          <w:lang w:val="en-GB"/>
        </w:rPr>
        <w:t>Mexico</w:t>
      </w:r>
      <w:r>
        <w:rPr>
          <w:lang w:val="en-GB"/>
        </w:rPr>
        <w:t>”) enacted laws in 1988 which facilitated the choice of non-Mexican laws for governing agreements.  The body of law which contains the basic conflicts of laws principles is the Federal Civil Code (the “</w:t>
      </w:r>
      <w:r>
        <w:rPr>
          <w:u w:val="single"/>
          <w:lang w:val="en-GB"/>
        </w:rPr>
        <w:t>Civil Code</w:t>
      </w:r>
      <w:r>
        <w:rPr>
          <w:lang w:val="en-GB"/>
        </w:rPr>
        <w:t>”).  The general principle is that parties may elect non-Mexican law as the governing law of their relationships; however, a choice of foreign law may not be valid if it is selected to avoid the application of Mexican principles of public policy or if it is selected for fraudulent purposes.</w:t>
      </w:r>
    </w:p>
    <w:p>
      <w:pPr>
        <w:pStyle w:val="Normal"/>
        <w:ind w:start="851" w:end="0"/>
        <w:rPr>
          <w:lang w:val="en-GB"/>
        </w:rPr>
      </w:pPr>
      <w:r>
        <w:rPr>
          <w:lang w:val="en-GB"/>
        </w:rPr>
      </w:r>
    </w:p>
    <w:p>
      <w:pPr>
        <w:pStyle w:val="Normal"/>
        <w:ind w:firstLine="565" w:start="851" w:end="0"/>
        <w:rPr>
          <w:lang w:val="en-GB"/>
        </w:rPr>
      </w:pPr>
      <w:r>
        <w:rPr>
          <w:lang w:val="en-GB"/>
        </w:rPr>
        <w:t>Another general principle of Mexican conflicts of laws is that Mexican law will recognise legal situations validly created either in the states which comprise the Mexican republic or in any foreign state in accordance with the respective laws thereof.</w:t>
      </w:r>
    </w:p>
    <w:p>
      <w:pPr>
        <w:pStyle w:val="Normal"/>
        <w:ind w:start="851" w:end="0"/>
        <w:rPr>
          <w:lang w:val="en-GB"/>
        </w:rPr>
      </w:pPr>
      <w:r>
        <w:rPr>
          <w:lang w:val="en-GB"/>
        </w:rPr>
      </w:r>
    </w:p>
    <w:p>
      <w:pPr>
        <w:pStyle w:val="Normal"/>
        <w:ind w:firstLine="437" w:start="851" w:end="0"/>
        <w:rPr/>
      </w:pPr>
      <w:r>
        <w:rPr>
          <w:lang w:val="en-GB"/>
        </w:rPr>
        <w:t xml:space="preserve">Mexican courts would recognise and enforce a final judgement of a foreign court of competent jurisdiction in respect of any obligation under any agreement entered by a Mexican company, pursuant to Articles 569 and 571 of the Mexican Federal Code of Civil Procedure and Article 1347A of the Commerce Code, which provide, </w:t>
      </w:r>
      <w:r>
        <w:rPr>
          <w:u w:val="single"/>
          <w:lang w:val="en-GB"/>
        </w:rPr>
        <w:t>inter</w:t>
      </w:r>
      <w:r>
        <w:rPr>
          <w:lang w:val="en-GB"/>
        </w:rPr>
        <w:t xml:space="preserve"> </w:t>
      </w:r>
      <w:r>
        <w:rPr>
          <w:u w:val="single"/>
          <w:lang w:val="en-GB"/>
        </w:rPr>
        <w:t>alia</w:t>
      </w:r>
      <w:r>
        <w:rPr>
          <w:lang w:val="en-GB"/>
        </w:rPr>
        <w:t xml:space="preserve">, that any judgement rendered outside Mexico may be enforced by Mexican courts, </w:t>
      </w:r>
      <w:r>
        <w:rPr>
          <w:u w:val="single"/>
          <w:lang w:val="en-GB"/>
        </w:rPr>
        <w:t>provided</w:t>
      </w:r>
      <w:r>
        <w:rPr>
          <w:lang w:val="en-GB"/>
        </w:rPr>
        <w:t xml:space="preserve"> that:</w:t>
      </w:r>
    </w:p>
    <w:p>
      <w:pPr>
        <w:pStyle w:val="Normal"/>
        <w:rPr>
          <w:lang w:val="en-GB"/>
        </w:rPr>
      </w:pPr>
      <w:r>
        <w:rPr>
          <w:lang w:val="en-GB"/>
        </w:rPr>
      </w:r>
    </w:p>
    <w:p>
      <w:pPr>
        <w:pStyle w:val="Normal"/>
        <w:ind w:firstLine="437" w:start="1701" w:end="0"/>
        <w:rPr>
          <w:lang w:val="en-GB"/>
        </w:rPr>
      </w:pPr>
      <w:r>
        <w:rPr>
          <w:lang w:val="en-GB"/>
        </w:rPr>
        <w:t>(a)  such judgement is obtained in compliance with legal requirements of the jurisdiction of the court rendering such judgement and in compliance with all legal requirements of the relevant agreement;</w:t>
      </w:r>
    </w:p>
    <w:p>
      <w:pPr>
        <w:pStyle w:val="Normal"/>
        <w:rPr>
          <w:lang w:val="en-GB"/>
        </w:rPr>
      </w:pPr>
      <w:r>
        <w:rPr>
          <w:lang w:val="en-GB"/>
        </w:rPr>
      </w:r>
    </w:p>
    <w:p>
      <w:pPr>
        <w:pStyle w:val="Normal"/>
        <w:ind w:firstLine="437" w:start="1701" w:end="0"/>
        <w:rPr/>
      </w:pPr>
      <w:r>
        <w:rPr>
          <w:lang w:val="en-GB"/>
        </w:rPr>
        <w:t xml:space="preserve">(b)  such judgement is strictly for the payment of a certain sum of money based on an </w:t>
      </w:r>
      <w:r>
        <w:rPr>
          <w:u w:val="single"/>
          <w:lang w:val="en-GB"/>
        </w:rPr>
        <w:t>in</w:t>
      </w:r>
      <w:r>
        <w:rPr>
          <w:lang w:val="en-GB"/>
        </w:rPr>
        <w:t xml:space="preserve"> </w:t>
      </w:r>
      <w:r>
        <w:rPr>
          <w:u w:val="single"/>
          <w:lang w:val="en-GB"/>
        </w:rPr>
        <w:t>personam</w:t>
      </w:r>
      <w:r>
        <w:rPr>
          <w:lang w:val="en-GB"/>
        </w:rPr>
        <w:t xml:space="preserve"> (as opposed to an </w:t>
      </w:r>
      <w:r>
        <w:rPr>
          <w:u w:val="single"/>
          <w:lang w:val="en-GB"/>
        </w:rPr>
        <w:t>in</w:t>
      </w:r>
      <w:r>
        <w:rPr>
          <w:lang w:val="en-GB"/>
        </w:rPr>
        <w:t xml:space="preserve"> </w:t>
      </w:r>
      <w:r>
        <w:rPr>
          <w:u w:val="single"/>
          <w:lang w:val="en-GB"/>
        </w:rPr>
        <w:t>rem</w:t>
      </w:r>
      <w:r>
        <w:rPr>
          <w:lang w:val="en-GB"/>
        </w:rPr>
        <w:t>) action;</w:t>
      </w:r>
    </w:p>
    <w:p>
      <w:pPr>
        <w:pStyle w:val="Normal"/>
        <w:rPr>
          <w:lang w:val="en-GB"/>
        </w:rPr>
      </w:pPr>
      <w:r>
        <w:rPr>
          <w:lang w:val="en-GB"/>
        </w:rPr>
      </w:r>
    </w:p>
    <w:p>
      <w:pPr>
        <w:pStyle w:val="Normal"/>
        <w:ind w:firstLine="437" w:start="1701" w:end="0"/>
        <w:rPr>
          <w:lang w:val="en-GB"/>
        </w:rPr>
      </w:pPr>
      <w:r>
        <w:rPr>
          <w:lang w:val="en-GB"/>
        </w:rPr>
        <w:t>(c)  service of process was made personally on the relevant Debtor or on the process agent designated in the relevant agreement;</w:t>
      </w:r>
    </w:p>
    <w:p>
      <w:pPr>
        <w:pStyle w:val="Normal"/>
        <w:rPr>
          <w:lang w:val="en-GB"/>
        </w:rPr>
      </w:pPr>
      <w:r>
        <w:rPr>
          <w:lang w:val="en-GB"/>
        </w:rPr>
      </w:r>
    </w:p>
    <w:p>
      <w:pPr>
        <w:pStyle w:val="Normal"/>
        <w:ind w:firstLine="437" w:start="1701" w:end="0"/>
        <w:rPr>
          <w:lang w:val="en-GB"/>
        </w:rPr>
      </w:pPr>
      <w:r>
        <w:rPr>
          <w:lang w:val="en-GB"/>
        </w:rPr>
        <w:t>(d)  such judgement does not contravene Mexican public policy, Mexican law, international treaties or agreements binding upon Mexico or generally accepted principles of international law;</w:t>
      </w:r>
    </w:p>
    <w:p>
      <w:pPr>
        <w:pStyle w:val="Normal"/>
        <w:ind w:firstLine="720" w:start="720" w:end="0"/>
        <w:rPr>
          <w:lang w:val="en-GB"/>
        </w:rPr>
      </w:pPr>
      <w:r>
        <w:rPr>
          <w:lang w:val="en-GB"/>
        </w:rPr>
      </w:r>
    </w:p>
    <w:p>
      <w:pPr>
        <w:pStyle w:val="Normal"/>
        <w:ind w:firstLine="415" w:start="1701" w:end="0"/>
        <w:rPr>
          <w:lang w:val="en-GB"/>
        </w:rPr>
      </w:pPr>
      <w:r>
        <w:rPr>
          <w:lang w:val="en-GB"/>
        </w:rPr>
        <w:t>(e)  the applicable procedure under the laws of Mexico with respect to the enforcement of foreign judgements (including the issuance of a letter rogatory by the competent authority of such jurisdiction requesting enforcement of such judgement and the certification of such judgement as authentic by the corresponding authorities of such jurisdiction in accordance with the laws thereof) is complied with;</w:t>
      </w:r>
    </w:p>
    <w:p>
      <w:pPr>
        <w:pStyle w:val="Normal"/>
        <w:rPr>
          <w:lang w:val="en-GB"/>
        </w:rPr>
      </w:pPr>
      <w:r>
        <w:rPr>
          <w:lang w:val="en-GB"/>
        </w:rPr>
      </w:r>
    </w:p>
    <w:p>
      <w:pPr>
        <w:pStyle w:val="Normal"/>
        <w:ind w:firstLine="437" w:start="1701" w:end="0"/>
        <w:rPr>
          <w:lang w:val="en-GB"/>
        </w:rPr>
      </w:pPr>
      <w:r>
        <w:rPr>
          <w:lang w:val="en-GB"/>
        </w:rPr>
        <w:t>(f)  such judgement is final in the jurisdiction where it was obtained;</w:t>
      </w:r>
    </w:p>
    <w:p>
      <w:pPr>
        <w:pStyle w:val="Normal"/>
        <w:ind w:firstLine="709" w:start="709" w:end="0"/>
        <w:rPr>
          <w:rFonts w:ascii="Courier" w:hAnsi="Courier" w:cs="Courier"/>
          <w:lang w:val="en-GB"/>
        </w:rPr>
      </w:pPr>
      <w:r>
        <w:rPr>
          <w:rFonts w:cs="Courier" w:ascii="Courier" w:hAnsi="Courier"/>
          <w:lang w:val="en-GB"/>
        </w:rPr>
      </w:r>
    </w:p>
    <w:p>
      <w:pPr>
        <w:pStyle w:val="Normal"/>
        <w:ind w:firstLine="450" w:start="1710" w:end="0"/>
        <w:rPr/>
      </w:pPr>
      <w:r>
        <w:rPr/>
        <w:t>(g)  the action in respect of which such judgement is rendered is not the subject matter of a lawsuit among the same parties, pending before a Mexican court; and</w:t>
      </w:r>
    </w:p>
    <w:p>
      <w:pPr>
        <w:pStyle w:val="Normal"/>
        <w:ind w:firstLine="720" w:start="720" w:end="0"/>
        <w:rPr>
          <w:lang w:val="en-GB"/>
        </w:rPr>
      </w:pPr>
      <w:r>
        <w:rPr>
          <w:lang w:val="en-GB"/>
        </w:rPr>
      </w:r>
    </w:p>
    <w:p>
      <w:pPr>
        <w:pStyle w:val="Normal"/>
        <w:ind w:firstLine="426" w:start="1701" w:end="0"/>
        <w:rPr>
          <w:lang w:val="en-GB"/>
        </w:rPr>
      </w:pPr>
      <w:r>
        <w:rPr>
          <w:lang w:val="en-GB"/>
        </w:rPr>
        <w:t>(h)  the courts of the relevant jurisdiction recognise the principles of reciprocity in connection with the enforcement of Mexican judgements therein.</w:t>
      </w:r>
    </w:p>
    <w:p>
      <w:pPr>
        <w:pStyle w:val="Normal"/>
        <w:ind w:hanging="708" w:start="708" w:end="0"/>
        <w:rPr>
          <w:lang w:val="en-GB"/>
        </w:rPr>
      </w:pPr>
      <w:r>
        <w:rPr>
          <w:lang w:val="en-GB"/>
        </w:rPr>
      </w:r>
    </w:p>
    <w:p>
      <w:pPr>
        <w:pStyle w:val="Normal"/>
        <w:ind w:hanging="708" w:start="708" w:end="0"/>
        <w:rPr>
          <w:b/>
        </w:rPr>
      </w:pPr>
      <w:r>
        <w:rPr>
          <w:b/>
        </w:rPr>
        <w:t>2.</w:t>
        <w:tab/>
        <w:t>Contract Formation</w:t>
      </w:r>
    </w:p>
    <w:p>
      <w:pPr>
        <w:pStyle w:val="Normal"/>
        <w:ind w:hanging="708" w:start="708" w:end="0"/>
        <w:rPr>
          <w:b/>
        </w:rPr>
      </w:pPr>
      <w:r>
        <w:rPr>
          <w:b/>
        </w:rPr>
      </w:r>
    </w:p>
    <w:p>
      <w:pPr>
        <w:pStyle w:val="Normal"/>
        <w:ind w:hanging="708" w:start="708" w:end="0"/>
        <w:rPr/>
      </w:pPr>
      <w:r>
        <w:rPr>
          <w:b/>
        </w:rPr>
        <w:t>2.1</w:t>
        <w:tab/>
        <w:t>Please review the contract formation structure proposed above and comment on any laws in your jurisdiction, which may impact on contract formation and enforceability</w:t>
      </w:r>
      <w:r>
        <w:rPr/>
        <w:t>.</w:t>
      </w:r>
    </w:p>
    <w:p>
      <w:pPr>
        <w:pStyle w:val="Normal"/>
        <w:ind w:hanging="708" w:start="708" w:end="0"/>
        <w:rPr/>
      </w:pPr>
      <w:r>
        <w:rPr/>
      </w:r>
    </w:p>
    <w:p>
      <w:pPr>
        <w:pStyle w:val="Normal"/>
        <w:ind w:firstLine="708" w:end="0"/>
        <w:rPr/>
      </w:pPr>
      <w:r>
        <w:rPr/>
        <w:t xml:space="preserve">The contract formation structure would be enforceable in Mexico.  Pursuant to recent amendments to the Civil Code and the Commercial Code, it is now expressly permitted to form contracts expressing the will of the parties using electronic and computer means.  The new provisions recognize two kinds of consent for purposes of contract formation: (i) express consent, which is given when acceptance is expressed orally, in writing, trough electronic, optical or any other technological means of communication, or unequivocal signs; and (ii) implied consent, which is the result of the facts or acts that permit to presume or assume acceptance, implied consent will be applicable unless that express consent is provided by law or an agreement. </w:t>
      </w:r>
    </w:p>
    <w:p>
      <w:pPr>
        <w:pStyle w:val="Normal"/>
        <w:ind w:firstLine="708" w:end="0"/>
        <w:rPr/>
      </w:pPr>
      <w:r>
        <w:rPr/>
      </w:r>
    </w:p>
    <w:p>
      <w:pPr>
        <w:pStyle w:val="Normal"/>
        <w:ind w:firstLine="708" w:end="0"/>
        <w:rPr/>
      </w:pPr>
      <w:r>
        <w:rPr/>
        <w:t>In accordance with the new provisions, agreements in which the consent was expressed through electronic means will be considered valid.  The parties involved in an offer made trough electronic, optical or other technological means will be deemed to be present at the time the offer is made.  When an offer is made trough telephone, electronic, optical or other technological means, and no time limit for its acceptance is stipulated, the offeror shall not be bound to comply with the offer, if it is not accepted immediately.  No prior agreement between the parties is required for these provision to be enforceable.</w:t>
      </w:r>
    </w:p>
    <w:p>
      <w:pPr>
        <w:pStyle w:val="Normal"/>
        <w:ind w:firstLine="708" w:end="0"/>
        <w:rPr/>
      </w:pPr>
      <w:r>
        <w:rPr/>
      </w:r>
    </w:p>
    <w:p>
      <w:pPr>
        <w:pStyle w:val="Normal"/>
        <w:ind w:firstLine="708" w:end="0"/>
        <w:rPr/>
      </w:pPr>
      <w:r>
        <w:rPr/>
        <w:t>Commercial agreements or contracts made trough any electronic, optical or other technological means shall be deemed to have been perfected at the time that the acceptance of the terms is received or the counteroffer is accepted.</w:t>
      </w:r>
    </w:p>
    <w:p>
      <w:pPr>
        <w:pStyle w:val="Normal"/>
        <w:ind w:start="709" w:end="0"/>
        <w:rPr/>
      </w:pPr>
      <w:r>
        <w:rPr/>
      </w:r>
    </w:p>
    <w:p>
      <w:pPr>
        <w:pStyle w:val="Normal"/>
        <w:ind w:firstLine="708" w:end="0"/>
        <w:rPr/>
      </w:pPr>
      <w:r>
        <w:rPr/>
        <w:t>Unless otherwise agreed, a “Data Message” (i.e any information generated, sent, receipt, filed or communicated by electronic, optical or other technological means) is deemed to have been sent by the issuer if: (i) it was sent using identification means provided by the sender, such as passwords or identification codes; or (ii) if the sender programmed an “Information System” that operates automatically.  “Information System” is deemed to be any technological mean used to operate “Data Messages”.</w:t>
      </w:r>
    </w:p>
    <w:p>
      <w:pPr>
        <w:pStyle w:val="Normal"/>
        <w:ind w:start="709" w:end="0"/>
        <w:rPr/>
      </w:pPr>
      <w:r>
        <w:rPr/>
      </w:r>
    </w:p>
    <w:p>
      <w:pPr>
        <w:pStyle w:val="Normal"/>
        <w:ind w:firstLine="708" w:end="0"/>
        <w:rPr/>
      </w:pPr>
      <w:r>
        <w:rPr/>
        <w:t>Receipt of a “Data Message” is determined by the following criteria: (i) if the addressee has designated an information system to receive the information, receipt will be deemed at the moment the information enters such system; and (ii) if the information is sent to an information system which is not the designated one, or if there is no designated information system, when the addressee obtains such information.</w:t>
      </w:r>
    </w:p>
    <w:p>
      <w:pPr>
        <w:pStyle w:val="Normal"/>
        <w:ind w:start="709" w:end="0"/>
        <w:rPr/>
      </w:pPr>
      <w:r>
        <w:rPr/>
      </w:r>
    </w:p>
    <w:p>
      <w:pPr>
        <w:pStyle w:val="Normal"/>
        <w:ind w:firstLine="708" w:end="0"/>
        <w:rPr/>
      </w:pPr>
      <w:r>
        <w:rPr/>
        <w:t>If the “Data Message” requires an acknowledgement of receipt to be effective, either if provided by law or if so required by the issuer of the message, the “Data Message” shall be considered sent, when the acknowledgement of receipt is received.</w:t>
      </w:r>
    </w:p>
    <w:p>
      <w:pPr>
        <w:pStyle w:val="Normal"/>
        <w:ind w:start="709" w:end="0"/>
        <w:rPr/>
      </w:pPr>
      <w:r>
        <w:rPr/>
      </w:r>
    </w:p>
    <w:p>
      <w:pPr>
        <w:pStyle w:val="Normal"/>
        <w:ind w:firstLine="708" w:end="0"/>
        <w:rPr/>
      </w:pPr>
      <w:r>
        <w:rPr/>
        <w:t xml:space="preserve">Unless proved otherwise, receipt of the “Data Message” will be presumed, when the sender receives the acknowledgement of receipt. </w:t>
      </w:r>
    </w:p>
    <w:p>
      <w:pPr>
        <w:pStyle w:val="Normal"/>
        <w:ind w:start="709" w:end="0"/>
        <w:rPr/>
      </w:pPr>
      <w:r>
        <w:rPr/>
      </w:r>
    </w:p>
    <w:p>
      <w:pPr>
        <w:pStyle w:val="Normal"/>
        <w:ind w:firstLine="708" w:end="0"/>
        <w:rPr/>
      </w:pPr>
      <w:r>
        <w:rPr/>
        <w:t>Unless otherwise agreed, a “Data Message” shall be deemed issued at the issuer’s domicile and received at the addressee’s domicile.</w:t>
      </w:r>
    </w:p>
    <w:p>
      <w:pPr>
        <w:pStyle w:val="Normal"/>
        <w:ind w:firstLine="708" w:end="0"/>
        <w:rPr/>
      </w:pPr>
      <w:r>
        <w:rPr/>
      </w:r>
    </w:p>
    <w:p>
      <w:pPr>
        <w:pStyle w:val="Normal"/>
        <w:ind w:hanging="708" w:start="708" w:end="0"/>
        <w:rPr/>
      </w:pPr>
      <w:r>
        <w:rPr/>
      </w:r>
    </w:p>
    <w:p>
      <w:pPr>
        <w:pStyle w:val="Normal"/>
        <w:ind w:hanging="708" w:start="708" w:end="0"/>
        <w:rPr>
          <w:b/>
        </w:rPr>
      </w:pPr>
      <w:r>
        <w:rPr>
          <w:b/>
        </w:rPr>
        <w:t>2.2</w:t>
        <w:tab/>
        <w:t>Please review the draft agreements and comment on:</w:t>
      </w:r>
    </w:p>
    <w:p>
      <w:pPr>
        <w:pStyle w:val="Normal"/>
        <w:ind w:hanging="708" w:start="708" w:end="0"/>
        <w:rPr>
          <w:b/>
        </w:rPr>
      </w:pPr>
      <w:r>
        <w:rPr>
          <w:b/>
        </w:rPr>
      </w:r>
    </w:p>
    <w:p>
      <w:pPr>
        <w:pStyle w:val="Normal"/>
        <w:ind w:hanging="708" w:start="708" w:end="0"/>
        <w:rPr>
          <w:b/>
        </w:rPr>
      </w:pPr>
      <w:r>
        <w:rPr>
          <w:b/>
        </w:rPr>
        <w:tab/>
        <w:t>(a)</w:t>
        <w:tab/>
        <w:t>any areas that are unenforceable in your jurisdiction:</w:t>
      </w:r>
    </w:p>
    <w:p>
      <w:pPr>
        <w:pStyle w:val="Normal"/>
        <w:ind w:hanging="708" w:start="708" w:end="0"/>
        <w:rPr>
          <w:b/>
        </w:rPr>
      </w:pPr>
      <w:r>
        <w:rPr>
          <w:b/>
        </w:rPr>
      </w:r>
    </w:p>
    <w:p>
      <w:pPr>
        <w:pStyle w:val="BodyTextIndent"/>
        <w:rPr>
          <w:b/>
          <w:lang w:val="en-US"/>
        </w:rPr>
      </w:pPr>
      <w:r>
        <w:rPr>
          <w:b/>
          <w:lang w:val="en-US"/>
        </w:rPr>
        <w:t>(b)</w:t>
        <w:tab/>
        <w:t>any implied terms and conditions in your jurisdiction that may impact on these agreements; and</w:t>
      </w:r>
    </w:p>
    <w:p>
      <w:pPr>
        <w:pStyle w:val="Normal"/>
        <w:ind w:hanging="732" w:start="1440" w:end="0"/>
        <w:rPr>
          <w:b/>
          <w:lang w:val="en-US"/>
        </w:rPr>
      </w:pPr>
      <w:r>
        <w:rPr>
          <w:b/>
          <w:lang w:val="en-US"/>
        </w:rPr>
      </w:r>
    </w:p>
    <w:p>
      <w:pPr>
        <w:pStyle w:val="Normal"/>
        <w:ind w:hanging="732" w:start="1440" w:end="0"/>
        <w:rPr>
          <w:b/>
        </w:rPr>
      </w:pPr>
      <w:r>
        <w:rPr>
          <w:b/>
        </w:rPr>
        <w:t>(c)</w:t>
        <w:tab/>
        <w:t>any special local language or other requirements that must be addressed in these agreements.</w:t>
      </w:r>
    </w:p>
    <w:p>
      <w:pPr>
        <w:pStyle w:val="Normal"/>
        <w:ind w:hanging="732" w:start="1440" w:end="0"/>
        <w:rPr/>
      </w:pPr>
      <w:r>
        <w:rPr/>
      </w:r>
    </w:p>
    <w:p>
      <w:pPr>
        <w:pStyle w:val="Normal"/>
        <w:ind w:firstLine="708" w:end="0"/>
        <w:rPr/>
      </w:pPr>
      <w:r>
        <w:rPr/>
        <w:t>In general the agreements would be enforceable in Mexico in their present form.  However, it is important to note that provisions regarding mandatory payment in a certain specified currency may not be enforceable in Mexico.</w:t>
      </w:r>
    </w:p>
    <w:p>
      <w:pPr>
        <w:pStyle w:val="Normal"/>
        <w:ind w:hanging="732" w:start="1440" w:end="0"/>
        <w:rPr/>
      </w:pPr>
      <w:r>
        <w:rPr/>
      </w:r>
    </w:p>
    <w:p>
      <w:pPr>
        <w:pStyle w:val="Normal"/>
        <w:ind w:hanging="810" w:start="810" w:end="0"/>
        <w:rPr/>
      </w:pPr>
      <w:r>
        <w:rPr>
          <w:b/>
        </w:rPr>
        <w:t>2.3  Are there any risks associated with Enron relying on the once only signing of the PA to govern access to the website or should the terms of the PA be “accepted” by the counterparty each time they trade?  Alternatively, is it necessary to have any specific wording on the website, confirming the terms and conditions of</w:t>
      </w:r>
      <w:r>
        <w:rPr/>
        <w:t xml:space="preserve"> </w:t>
      </w:r>
      <w:r>
        <w:rPr>
          <w:b/>
        </w:rPr>
        <w:t>the PA</w:t>
      </w:r>
      <w:r>
        <w:rPr/>
        <w:t xml:space="preserve"> </w:t>
      </w:r>
      <w:r>
        <w:rPr>
          <w:b/>
        </w:rPr>
        <w:t>apply generally to trades conducted under the ETA?</w:t>
      </w:r>
    </w:p>
    <w:p>
      <w:pPr>
        <w:pStyle w:val="Normal"/>
        <w:ind w:hanging="810" w:start="810" w:end="0"/>
        <w:rPr>
          <w:b/>
        </w:rPr>
      </w:pPr>
      <w:r>
        <w:rPr>
          <w:b/>
        </w:rPr>
      </w:r>
    </w:p>
    <w:p>
      <w:pPr>
        <w:pStyle w:val="Normal"/>
        <w:rPr/>
      </w:pPr>
      <w:r>
        <w:rPr>
          <w:b/>
        </w:rPr>
        <w:tab/>
      </w:r>
      <w:r>
        <w:rPr/>
        <w:t>If it is clearly established in the agreements that by entering into any trade implies the acceptance of the terms of the PA, it is not necessary that those terms should be accepted with respect of any new trade.  However, we would recommend including specific wording confirming that any trade under the ETA will be subject to the terms and conditions of the PA.</w:t>
      </w:r>
    </w:p>
    <w:p>
      <w:pPr>
        <w:pStyle w:val="Normal"/>
        <w:ind w:hanging="810" w:start="810" w:end="0"/>
        <w:rPr/>
      </w:pPr>
      <w:r>
        <w:rPr/>
      </w:r>
    </w:p>
    <w:p>
      <w:pPr>
        <w:pStyle w:val="Normal"/>
        <w:ind w:hanging="810" w:start="810" w:end="0"/>
        <w:rPr>
          <w:b/>
        </w:rPr>
      </w:pPr>
      <w:r>
        <w:rPr>
          <w:b/>
        </w:rPr>
        <w:t>2.4</w:t>
        <w:tab/>
        <w:t>Are there any risks with relying on the statement that Enron’s electronic record of the trade will be conclusive proof of that trade.</w:t>
      </w:r>
    </w:p>
    <w:p>
      <w:pPr>
        <w:pStyle w:val="Normal"/>
        <w:ind w:hanging="810" w:start="810" w:end="0"/>
        <w:rPr/>
      </w:pPr>
      <w:r>
        <w:rPr/>
      </w:r>
    </w:p>
    <w:p>
      <w:pPr>
        <w:pStyle w:val="Normal"/>
        <w:ind w:firstLine="708" w:end="0"/>
        <w:rPr/>
      </w:pPr>
      <w:r>
        <w:rPr/>
        <w:t xml:space="preserve">No, in fact the Federal Code of Civil Procedures was recently amended for purposes of recognizing as admissible evidence in court, the information and obligations agreed trough electronic, optical or other technological means.  In order to consider the value of such information as evidence, the judge will evaluate the reliability of the method trough which the relevant information was issued, generated, communicated or recorded, as well as, if it is possible to attribute such information to the parties, and that such parties were able to review the relevant information. </w:t>
      </w:r>
    </w:p>
    <w:p>
      <w:pPr>
        <w:pStyle w:val="Normal"/>
        <w:ind w:start="709" w:end="0"/>
        <w:rPr/>
      </w:pPr>
      <w:r>
        <w:rPr/>
      </w:r>
    </w:p>
    <w:p>
      <w:pPr>
        <w:pStyle w:val="Normal"/>
        <w:ind w:hanging="810" w:start="810" w:end="0"/>
        <w:rPr/>
      </w:pPr>
      <w:r>
        <w:rPr/>
      </w:r>
    </w:p>
    <w:p>
      <w:pPr>
        <w:pStyle w:val="Normal"/>
        <w:ind w:hanging="810" w:start="810" w:end="0"/>
        <w:rPr/>
      </w:pPr>
      <w:r>
        <w:rPr>
          <w:b/>
        </w:rPr>
        <w:t>2.5</w:t>
        <w:tab/>
        <w:t>Enron intends for the counterparty’s original message for a trade to Enron to constitute an offer rather than Enron’s Web Site itself constituting an offer.  Is this position enforceable in your jurisdiction? Should any wording be included on the website to make it clear that the Web Site is not intended to be an offer or will it be sufficient</w:t>
      </w:r>
      <w:r>
        <w:rPr/>
        <w:t xml:space="preserve"> </w:t>
      </w:r>
      <w:r>
        <w:rPr>
          <w:b/>
        </w:rPr>
        <w:t>to state this in the ETA or relevant terms and conditions?</w:t>
      </w:r>
    </w:p>
    <w:p>
      <w:pPr>
        <w:pStyle w:val="Normal"/>
        <w:rPr>
          <w:b/>
        </w:rPr>
      </w:pPr>
      <w:r>
        <w:rPr>
          <w:b/>
        </w:rPr>
      </w:r>
    </w:p>
    <w:p>
      <w:pPr>
        <w:pStyle w:val="Normal"/>
        <w:ind w:firstLine="708" w:end="0"/>
        <w:rPr/>
      </w:pPr>
      <w:r>
        <w:rPr/>
        <w:t>In order that the Web Site will not constitute by itself an offer, it will be necessary to clearly state that the Web Site is not an offer and that Enron is prepared to receive offers from clients in the form of a message to Enron.</w:t>
      </w:r>
    </w:p>
    <w:p>
      <w:pPr>
        <w:pStyle w:val="Normal"/>
        <w:ind w:start="851" w:end="0"/>
        <w:rPr/>
      </w:pPr>
      <w:r>
        <w:rPr/>
      </w:r>
    </w:p>
    <w:p>
      <w:pPr>
        <w:pStyle w:val="Header"/>
        <w:tabs>
          <w:tab w:val="clear" w:pos="4252"/>
          <w:tab w:val="clear" w:pos="8504"/>
        </w:tabs>
        <w:rPr>
          <w:b/>
        </w:rPr>
      </w:pPr>
      <w:r>
        <w:rPr>
          <w:b/>
        </w:rPr>
        <w:t>3.</w:t>
        <w:tab/>
        <w:t>Exclusions/Restrictions on Liability</w:t>
      </w:r>
    </w:p>
    <w:p>
      <w:pPr>
        <w:pStyle w:val="Normal"/>
        <w:rPr>
          <w:b/>
        </w:rPr>
      </w:pPr>
      <w:r>
        <w:rPr>
          <w:b/>
        </w:rPr>
      </w:r>
    </w:p>
    <w:p>
      <w:pPr>
        <w:pStyle w:val="Normal"/>
        <w:ind w:hanging="630" w:start="630" w:end="0"/>
        <w:rPr>
          <w:b/>
        </w:rPr>
      </w:pPr>
      <w:r>
        <w:rPr>
          <w:b/>
        </w:rPr>
        <w:t>3.1</w:t>
        <w:tab/>
        <w:t>Please review the liability exclusions in both the PA and ETA and comment on their enforceability in your jurisdiction.</w:t>
      </w:r>
    </w:p>
    <w:p>
      <w:pPr>
        <w:pStyle w:val="Normal"/>
        <w:ind w:hanging="630" w:start="630" w:end="0"/>
        <w:rPr>
          <w:b/>
        </w:rPr>
      </w:pPr>
      <w:r>
        <w:rPr>
          <w:b/>
        </w:rPr>
      </w:r>
    </w:p>
    <w:p>
      <w:pPr>
        <w:pStyle w:val="Normal"/>
        <w:ind w:firstLine="630" w:end="0"/>
        <w:rPr/>
      </w:pPr>
      <w:r>
        <w:rPr/>
        <w:t>The liability exclusions in both the PA and ETA will be enforceable in Mexico to the extent that no damages were caused by the default on the obligations of Enron under such agreements.</w:t>
      </w:r>
    </w:p>
    <w:p>
      <w:pPr>
        <w:pStyle w:val="Normal"/>
        <w:ind w:hanging="630" w:start="630" w:end="0"/>
        <w:rPr/>
      </w:pPr>
      <w:r>
        <w:rPr/>
      </w:r>
    </w:p>
    <w:p>
      <w:pPr>
        <w:pStyle w:val="Normal"/>
        <w:ind w:hanging="630" w:start="630" w:end="0"/>
        <w:rPr>
          <w:b/>
        </w:rPr>
      </w:pPr>
      <w:r>
        <w:rPr>
          <w:b/>
        </w:rPr>
        <w:t>3.2</w:t>
        <w:tab/>
        <w:t>Enron wants to exclude liability for consequential, special, indirect and purely economic losses (see clause 4(a) of the ETA).  Is the exclusion of these kinds of losses possible in your jurisdiction?  Is the wording chosen appropriate in your jurisdiction?</w:t>
      </w:r>
    </w:p>
    <w:p>
      <w:pPr>
        <w:pStyle w:val="Normal"/>
        <w:ind w:hanging="630" w:start="630" w:end="0"/>
        <w:rPr>
          <w:b/>
        </w:rPr>
      </w:pPr>
      <w:r>
        <w:rPr>
          <w:b/>
        </w:rPr>
      </w:r>
    </w:p>
    <w:p>
      <w:pPr>
        <w:pStyle w:val="Normal"/>
        <w:ind w:firstLine="630" w:end="0"/>
        <w:rPr/>
      </w:pPr>
      <w:r>
        <w:rPr/>
        <w:t>Such exclusion is permitted as Mexican law does not recognize consequential, punitive, indirect or purely economic losses.  Mexican law only recognizes direct damages (</w:t>
      </w:r>
      <w:r>
        <w:rPr>
          <w:i/>
        </w:rPr>
        <w:t>daños</w:t>
      </w:r>
      <w:r>
        <w:rPr/>
        <w:t>) and loss of profit (</w:t>
      </w:r>
      <w:r>
        <w:rPr>
          <w:i/>
        </w:rPr>
        <w:t>perjuicios</w:t>
      </w:r>
      <w:r>
        <w:rPr/>
        <w:t>).</w:t>
      </w:r>
    </w:p>
    <w:p>
      <w:pPr>
        <w:pStyle w:val="Normal"/>
        <w:ind w:start="567" w:end="0"/>
        <w:rPr/>
      </w:pPr>
      <w:r>
        <w:rPr/>
      </w:r>
    </w:p>
    <w:p>
      <w:pPr>
        <w:pStyle w:val="Normal"/>
        <w:ind w:hanging="630" w:start="630" w:end="0"/>
        <w:rPr>
          <w:b/>
        </w:rPr>
      </w:pPr>
      <w:r>
        <w:rPr>
          <w:b/>
        </w:rPr>
        <w:t>3.3</w:t>
        <w:tab/>
        <w:t>Are there any other liability exclusion or limitation issues that we should be aware of in your jurisdiction?</w:t>
      </w:r>
    </w:p>
    <w:p>
      <w:pPr>
        <w:pStyle w:val="Normal"/>
        <w:ind w:hanging="630" w:start="630" w:end="0"/>
        <w:rPr>
          <w:b/>
        </w:rPr>
      </w:pPr>
      <w:r>
        <w:rPr>
          <w:b/>
        </w:rPr>
      </w:r>
    </w:p>
    <w:p>
      <w:pPr>
        <w:pStyle w:val="Normal"/>
        <w:ind w:hanging="63" w:start="630" w:end="0"/>
        <w:rPr/>
      </w:pPr>
      <w:r>
        <w:rPr/>
        <w:t>No.</w:t>
      </w:r>
    </w:p>
    <w:p>
      <w:pPr>
        <w:pStyle w:val="Normal"/>
        <w:ind w:hanging="63" w:start="630" w:end="0"/>
        <w:rPr/>
      </w:pPr>
      <w:r>
        <w:rPr/>
      </w:r>
    </w:p>
    <w:p>
      <w:pPr>
        <w:pStyle w:val="Normal"/>
        <w:ind w:hanging="630" w:start="630" w:end="0"/>
        <w:rPr>
          <w:b/>
        </w:rPr>
      </w:pPr>
      <w:r>
        <w:rPr>
          <w:b/>
        </w:rPr>
        <w:t>4.</w:t>
        <w:tab/>
        <w:t>Verification</w:t>
      </w:r>
    </w:p>
    <w:p>
      <w:pPr>
        <w:pStyle w:val="Normal"/>
        <w:ind w:hanging="630" w:start="630" w:end="0"/>
        <w:rPr>
          <w:b/>
        </w:rPr>
      </w:pPr>
      <w:r>
        <w:rPr>
          <w:b/>
        </w:rPr>
      </w:r>
    </w:p>
    <w:p>
      <w:pPr>
        <w:pStyle w:val="Normal"/>
        <w:ind w:hanging="630" w:start="630" w:end="0"/>
        <w:rPr>
          <w:b/>
        </w:rPr>
      </w:pPr>
      <w:r>
        <w:rPr>
          <w:b/>
        </w:rPr>
        <w:tab/>
        <w:t>A counterparty can only access the website by use of a password issued by Enron under the PA.  That said, in your jurisdiction would this be sufficient to satisfy any specific laws, rules, regulations, procedures or other evidential issues concerning the verification of the counterparty?</w:t>
      </w:r>
    </w:p>
    <w:p>
      <w:pPr>
        <w:pStyle w:val="Normal"/>
        <w:ind w:hanging="630" w:start="630" w:end="0"/>
        <w:rPr>
          <w:b/>
        </w:rPr>
      </w:pPr>
      <w:r>
        <w:rPr>
          <w:b/>
        </w:rPr>
      </w:r>
    </w:p>
    <w:p>
      <w:pPr>
        <w:pStyle w:val="Normal"/>
        <w:ind w:hanging="630" w:start="630" w:end="0"/>
        <w:rPr/>
      </w:pPr>
      <w:r>
        <w:rPr>
          <w:b/>
        </w:rPr>
        <w:tab/>
      </w:r>
      <w:r>
        <w:rPr/>
        <w:t>Yes.  Please see answer 2.1.</w:t>
      </w:r>
    </w:p>
    <w:p>
      <w:pPr>
        <w:pStyle w:val="Normal"/>
        <w:ind w:hanging="630" w:start="630" w:end="0"/>
        <w:rPr/>
      </w:pPr>
      <w:r>
        <w:rPr/>
      </w:r>
    </w:p>
    <w:p>
      <w:pPr>
        <w:pStyle w:val="Normal"/>
        <w:ind w:hanging="630" w:start="630" w:end="0"/>
        <w:rPr/>
      </w:pPr>
      <w:r>
        <w:rPr/>
        <w:tab/>
      </w:r>
      <w:r>
        <w:rPr>
          <w:b/>
        </w:rPr>
        <w:t>In particular, please provide advice on the risks and potential liability of Enron in your jurisdiction if a third party obtains the counterparty’s password and purports to trade with Enron via the Internet even where the counterparty has taken reasonable steps to protect the password.  What would Enron’s liabilities be in the event that the counterparty did not honour such trade?  Is Enron permitted to rely on the fact that if the password has been used all offers have emanated from that counterparty?</w:t>
      </w:r>
    </w:p>
    <w:p>
      <w:pPr>
        <w:pStyle w:val="Normal"/>
        <w:ind w:hanging="630" w:start="630" w:end="0"/>
        <w:rPr>
          <w:b/>
        </w:rPr>
      </w:pPr>
      <w:r>
        <w:rPr>
          <w:b/>
        </w:rPr>
      </w:r>
    </w:p>
    <w:p>
      <w:pPr>
        <w:pStyle w:val="Normal"/>
        <w:rPr/>
      </w:pPr>
      <w:r>
        <w:rPr/>
        <w:tab/>
        <w:t>The counterparty will be liable for the use given to the password unless the counterparty can demonstrate that the system implemented by Enron is not reliable or that the agreement was not available to review by such counterparty.</w:t>
      </w:r>
    </w:p>
    <w:p>
      <w:pPr>
        <w:pStyle w:val="Normal"/>
        <w:ind w:hanging="630" w:start="630" w:end="0"/>
        <w:rPr/>
      </w:pPr>
      <w:r>
        <w:rPr/>
      </w:r>
    </w:p>
    <w:p>
      <w:pPr>
        <w:pStyle w:val="Normal"/>
        <w:ind w:hanging="630" w:start="630" w:end="0"/>
        <w:rPr>
          <w:b/>
        </w:rPr>
      </w:pPr>
      <w:r>
        <w:rPr>
          <w:b/>
        </w:rPr>
        <w:t>5.</w:t>
        <w:tab/>
        <w:t>Advertising Laws</w:t>
      </w:r>
    </w:p>
    <w:p>
      <w:pPr>
        <w:pStyle w:val="Normal"/>
        <w:ind w:hanging="630" w:start="630" w:end="0"/>
        <w:rPr>
          <w:b/>
        </w:rPr>
      </w:pPr>
      <w:r>
        <w:rPr>
          <w:b/>
        </w:rPr>
      </w:r>
    </w:p>
    <w:p>
      <w:pPr>
        <w:pStyle w:val="Normal"/>
        <w:ind w:hanging="630" w:start="630" w:end="0"/>
        <w:rPr/>
      </w:pPr>
      <w:r>
        <w:rPr/>
        <w:tab/>
      </w:r>
      <w:r>
        <w:rPr>
          <w:b/>
        </w:rPr>
        <w:t>To what extent will Enron be prohibited or restricted from advertising or offering to buy or sell commodities and derivatives via the Internet in your jurisdiction?</w:t>
      </w:r>
    </w:p>
    <w:p>
      <w:pPr>
        <w:pStyle w:val="Normal"/>
        <w:ind w:hanging="630" w:start="630" w:end="0"/>
        <w:rPr>
          <w:b/>
        </w:rPr>
      </w:pPr>
      <w:r>
        <w:rPr>
          <w:b/>
        </w:rPr>
      </w:r>
    </w:p>
    <w:p>
      <w:pPr>
        <w:pStyle w:val="Normal"/>
        <w:rPr/>
      </w:pPr>
      <w:r>
        <w:rPr/>
        <w:tab/>
        <w:t xml:space="preserve">Enron cannot offer in Mexico financial derivatives (i.e. derivatives in which the underlying assets are securities, foreign exchange, precious metals, currencies or interest rates).  An offer made via Internet to clients resident in Mexico would be considered to be made in Mexico and may subject Enron to civil and criminal penalties.  </w:t>
      </w:r>
    </w:p>
    <w:p>
      <w:pPr>
        <w:pStyle w:val="Normal"/>
        <w:ind w:hanging="630" w:start="630" w:end="0"/>
        <w:rPr/>
      </w:pPr>
      <w:r>
        <w:rPr/>
      </w:r>
    </w:p>
    <w:p>
      <w:pPr>
        <w:pStyle w:val="Normal"/>
        <w:rPr/>
      </w:pPr>
      <w:r>
        <w:rPr/>
        <w:tab/>
        <w:t>Also please note that Enron cannot offer to sale in Mexico “first hand” oil or electricity.</w:t>
      </w:r>
    </w:p>
    <w:p>
      <w:pPr>
        <w:pStyle w:val="Normal"/>
        <w:ind w:hanging="630" w:start="630" w:end="0"/>
        <w:rPr/>
      </w:pPr>
      <w:r>
        <w:rPr/>
      </w:r>
    </w:p>
    <w:p>
      <w:pPr>
        <w:pStyle w:val="Normal"/>
        <w:ind w:hanging="630" w:start="630" w:end="0"/>
        <w:rPr>
          <w:b/>
        </w:rPr>
      </w:pPr>
      <w:r>
        <w:rPr>
          <w:b/>
        </w:rPr>
        <w:t>6.</w:t>
        <w:tab/>
        <w:t>Data Protection</w:t>
      </w:r>
    </w:p>
    <w:p>
      <w:pPr>
        <w:pStyle w:val="Normal"/>
        <w:ind w:hanging="630" w:start="630" w:end="0"/>
        <w:rPr>
          <w:b/>
        </w:rPr>
      </w:pPr>
      <w:r>
        <w:rPr>
          <w:b/>
        </w:rPr>
      </w:r>
    </w:p>
    <w:p>
      <w:pPr>
        <w:pStyle w:val="Normal"/>
        <w:ind w:hanging="630" w:start="630" w:end="0"/>
        <w:rPr/>
      </w:pPr>
      <w:r>
        <w:rPr>
          <w:b/>
        </w:rPr>
        <w:tab/>
        <w:t>Please confirm the extent to which, if any, data protection law issues will apply to this venture</w:t>
      </w:r>
      <w:r>
        <w:rPr/>
        <w:t>.</w:t>
      </w:r>
    </w:p>
    <w:p>
      <w:pPr>
        <w:pStyle w:val="Normal"/>
        <w:rPr/>
      </w:pPr>
      <w:r>
        <w:rPr/>
      </w:r>
    </w:p>
    <w:p>
      <w:pPr>
        <w:pStyle w:val="Normal"/>
        <w:ind w:firstLine="567" w:end="0"/>
        <w:rPr/>
      </w:pPr>
      <w:r>
        <w:rPr/>
        <w:t xml:space="preserve">The Consumers Protection Law establishes certain rules that must be observed by providers of goods or services that use the Internet for such purposes.  In accordance with such provisions the rules that must be observed are the following: </w:t>
      </w:r>
    </w:p>
    <w:p>
      <w:pPr>
        <w:pStyle w:val="Normal"/>
        <w:ind w:start="567" w:end="0"/>
        <w:rPr/>
      </w:pPr>
      <w:r>
        <w:rPr/>
      </w:r>
    </w:p>
    <w:p>
      <w:pPr>
        <w:pStyle w:val="Normal"/>
        <w:ind w:start="567" w:end="0"/>
        <w:rPr/>
      </w:pPr>
      <w:r>
        <w:rPr/>
        <w:t xml:space="preserve">(i) all the information provided by the client shall be deemed confidential, and will not be disclosed unless the prior approval of the client is obtained, unless it is requested by the competent authorities; </w:t>
      </w:r>
    </w:p>
    <w:p>
      <w:pPr>
        <w:pStyle w:val="Normal"/>
        <w:ind w:start="567" w:end="0"/>
        <w:rPr/>
      </w:pPr>
      <w:r>
        <w:rPr/>
      </w:r>
    </w:p>
    <w:p>
      <w:pPr>
        <w:pStyle w:val="Normal"/>
        <w:ind w:start="567" w:end="0"/>
        <w:rPr/>
      </w:pPr>
      <w:r>
        <w:rPr/>
        <w:t xml:space="preserve">(ii) Enron shall use best efforts to safeguard the information provided by the client, and previously inform the client of which means it will be using; </w:t>
      </w:r>
    </w:p>
    <w:p>
      <w:pPr>
        <w:pStyle w:val="Normal"/>
        <w:ind w:start="567" w:end="0"/>
        <w:rPr/>
      </w:pPr>
      <w:r>
        <w:rPr/>
      </w:r>
    </w:p>
    <w:p>
      <w:pPr>
        <w:pStyle w:val="Normal"/>
        <w:ind w:start="567" w:end="0"/>
        <w:rPr/>
      </w:pPr>
      <w:r>
        <w:rPr/>
        <w:t xml:space="preserve">(iii) Enron shall inform the client of its domicile, telephone numbers and office to present claims; </w:t>
      </w:r>
    </w:p>
    <w:p>
      <w:pPr>
        <w:pStyle w:val="Normal"/>
        <w:ind w:start="567" w:end="0"/>
        <w:rPr/>
      </w:pPr>
      <w:r>
        <w:rPr/>
      </w:r>
    </w:p>
    <w:p>
      <w:pPr>
        <w:pStyle w:val="Normal"/>
        <w:ind w:start="567" w:end="0"/>
        <w:rPr/>
      </w:pPr>
      <w:r>
        <w:rPr/>
        <w:t xml:space="preserve">(iv) Enron shall comply with  all the information and publicity requirements provided by the Consumers Protection Law; </w:t>
      </w:r>
    </w:p>
    <w:p>
      <w:pPr>
        <w:pStyle w:val="Normal"/>
        <w:ind w:start="567" w:end="0"/>
        <w:rPr/>
      </w:pPr>
      <w:r>
        <w:rPr/>
      </w:r>
    </w:p>
    <w:p>
      <w:pPr>
        <w:pStyle w:val="Normal"/>
        <w:ind w:start="567" w:end="0"/>
        <w:rPr/>
      </w:pPr>
      <w:r>
        <w:rPr/>
        <w:t xml:space="preserve">(v) the client shall have the right to know al the information regarding the terms, conditions, cost, commissions, additional charges and form of payment of the services or goods to be provided; </w:t>
      </w:r>
    </w:p>
    <w:p>
      <w:pPr>
        <w:pStyle w:val="Normal"/>
        <w:ind w:start="567" w:end="0"/>
        <w:rPr/>
      </w:pPr>
      <w:r>
        <w:rPr/>
      </w:r>
    </w:p>
    <w:p>
      <w:pPr>
        <w:pStyle w:val="Normal"/>
        <w:ind w:start="567" w:end="0"/>
        <w:rPr/>
      </w:pPr>
      <w:r>
        <w:rPr/>
        <w:t>(vi) Enron shall follow the client’s instructions as of the quantity and quality of the product, and the client’s desire of not to receive publicity; and</w:t>
      </w:r>
    </w:p>
    <w:p>
      <w:pPr>
        <w:pStyle w:val="Normal"/>
        <w:ind w:start="567" w:end="0"/>
        <w:rPr/>
      </w:pPr>
      <w:r>
        <w:rPr/>
      </w:r>
    </w:p>
    <w:p>
      <w:pPr>
        <w:pStyle w:val="Normal"/>
        <w:ind w:start="567" w:end="0"/>
        <w:rPr/>
      </w:pPr>
      <w:r>
        <w:rPr/>
        <w:t xml:space="preserve">(vii) Enron shall not use devious or misleading publicity and inform the general public of the content of the services or goods to be provided, warning to elders, children and vulnerable clientele of the content and suitability of their products or services. </w:t>
      </w:r>
    </w:p>
    <w:p>
      <w:pPr>
        <w:pStyle w:val="Normal"/>
        <w:rPr/>
      </w:pPr>
      <w:r>
        <w:rPr/>
      </w:r>
    </w:p>
    <w:p>
      <w:pPr>
        <w:pStyle w:val="Normal"/>
        <w:ind w:hanging="630" w:start="630" w:end="0"/>
        <w:rPr/>
      </w:pPr>
      <w:r>
        <w:rPr/>
      </w:r>
    </w:p>
    <w:p>
      <w:pPr>
        <w:pStyle w:val="Normal"/>
        <w:ind w:hanging="630" w:start="630" w:end="0"/>
        <w:rPr>
          <w:b/>
        </w:rPr>
      </w:pPr>
      <w:r>
        <w:rPr>
          <w:b/>
        </w:rPr>
        <w:t>7.</w:t>
        <w:tab/>
        <w:t>Intellectual Property Rights</w:t>
      </w:r>
    </w:p>
    <w:p>
      <w:pPr>
        <w:pStyle w:val="Normal"/>
        <w:ind w:hanging="630" w:start="630" w:end="0"/>
        <w:rPr>
          <w:b/>
        </w:rPr>
      </w:pPr>
      <w:r>
        <w:rPr>
          <w:b/>
        </w:rPr>
      </w:r>
    </w:p>
    <w:p>
      <w:pPr>
        <w:pStyle w:val="Sangra2detindependiente"/>
        <w:rPr>
          <w:b/>
        </w:rPr>
      </w:pPr>
      <w:r>
        <w:rPr>
          <w:b/>
        </w:rPr>
        <w:tab/>
        <w:t>Are there any intellectual property rights issues which Enron should bear in mind when carrying out this activity?</w:t>
      </w:r>
    </w:p>
    <w:p>
      <w:pPr>
        <w:pStyle w:val="Normal"/>
        <w:ind w:hanging="630" w:start="630" w:end="0"/>
        <w:rPr/>
      </w:pPr>
      <w:r>
        <w:rPr/>
      </w:r>
    </w:p>
    <w:p>
      <w:pPr>
        <w:pStyle w:val="Normal"/>
        <w:ind w:hanging="630" w:start="630" w:end="0"/>
        <w:rPr/>
      </w:pPr>
      <w:r>
        <w:rPr/>
        <w:tab/>
        <w:t>No, other than the trademarks and commercial names should be properly registered.</w:t>
      </w:r>
    </w:p>
    <w:p>
      <w:pPr>
        <w:pStyle w:val="Normal"/>
        <w:ind w:hanging="630" w:start="630" w:end="0"/>
        <w:rPr/>
      </w:pPr>
      <w:r>
        <w:rPr/>
      </w:r>
    </w:p>
    <w:p>
      <w:pPr>
        <w:pStyle w:val="Normal"/>
        <w:ind w:hanging="630" w:start="630" w:end="0"/>
        <w:rPr>
          <w:b/>
        </w:rPr>
      </w:pPr>
      <w:r>
        <w:rPr>
          <w:b/>
        </w:rPr>
        <w:t>8.</w:t>
        <w:tab/>
        <w:t>General</w:t>
      </w:r>
    </w:p>
    <w:p>
      <w:pPr>
        <w:pStyle w:val="Normal"/>
        <w:ind w:hanging="630" w:start="630" w:end="0"/>
        <w:rPr>
          <w:b/>
        </w:rPr>
      </w:pPr>
      <w:r>
        <w:rPr>
          <w:b/>
        </w:rPr>
      </w:r>
    </w:p>
    <w:p>
      <w:pPr>
        <w:pStyle w:val="Normal"/>
        <w:ind w:hanging="630" w:start="630" w:end="0"/>
        <w:rPr>
          <w:b/>
        </w:rPr>
      </w:pPr>
      <w:r>
        <w:rPr>
          <w:b/>
        </w:rPr>
        <w:tab/>
        <w:t>To the extent not dealt with above, please set out in broad terms any other issues which Enron should consider in relation to this proposed venture.</w:t>
      </w:r>
    </w:p>
    <w:p>
      <w:pPr>
        <w:pStyle w:val="Normal"/>
        <w:ind w:hanging="630" w:start="630" w:end="0"/>
        <w:rPr/>
      </w:pPr>
      <w:r>
        <w:rPr/>
      </w:r>
    </w:p>
    <w:p>
      <w:pPr>
        <w:pStyle w:val="Normal"/>
        <w:ind w:hanging="630" w:start="630" w:end="0"/>
        <w:rPr>
          <w:b/>
        </w:rPr>
      </w:pPr>
      <w:r>
        <w:rPr>
          <w:b/>
        </w:rPr>
        <w:t>9.</w:t>
        <w:tab/>
        <w:t>Tax issues</w:t>
      </w:r>
    </w:p>
    <w:p>
      <w:pPr>
        <w:pStyle w:val="Normal"/>
        <w:ind w:hanging="630" w:start="630" w:end="0"/>
        <w:rPr>
          <w:b/>
        </w:rPr>
      </w:pPr>
      <w:r>
        <w:rPr>
          <w:b/>
        </w:rPr>
      </w:r>
    </w:p>
    <w:p>
      <w:pPr>
        <w:pStyle w:val="Normal"/>
        <w:ind w:hanging="630" w:start="630" w:end="0"/>
        <w:rPr/>
      </w:pPr>
      <w:r>
        <w:rPr/>
        <w:tab/>
      </w:r>
      <w:r>
        <w:rPr>
          <w:b/>
        </w:rPr>
        <w:t>The Enron legal entity which accepts the offer is determined by the type of product being traded.  The legal contractual terms will be tailored depending on the identity of the customer, the type of product concerned, whether the transaction is a financial transaction, and whether industry standard terms apply (as amended).  While generally the Enron legal entity will be either a U.S. entity or a U.K. entity, we anticipate that some transactions will be entered</w:t>
      </w:r>
      <w:r>
        <w:rPr/>
        <w:t xml:space="preserve"> </w:t>
      </w:r>
      <w:r>
        <w:rPr>
          <w:b/>
        </w:rPr>
        <w:t>into by an Enron entity organized in your jurisdiction.</w:t>
      </w:r>
    </w:p>
    <w:p>
      <w:pPr>
        <w:pStyle w:val="Normal"/>
        <w:ind w:hanging="630" w:start="630" w:end="0"/>
        <w:rPr/>
      </w:pPr>
      <w:r>
        <w:rPr/>
      </w:r>
    </w:p>
    <w:p>
      <w:pPr>
        <w:pStyle w:val="Normal"/>
        <w:ind w:hanging="630" w:start="630" w:end="0"/>
        <w:rPr/>
      </w:pPr>
      <w:r>
        <w:rPr/>
        <w:tab/>
      </w:r>
      <w:r>
        <w:rPr>
          <w:b/>
        </w:rPr>
        <w:t>The Enron entity processing the new customer Access Agreements will likely be a corporation incorporated in the United States.  The processing of the Access Agreements will take place in the United States.</w:t>
      </w:r>
    </w:p>
    <w:p>
      <w:pPr>
        <w:pStyle w:val="Normal"/>
        <w:ind w:hanging="630" w:start="630" w:end="0"/>
        <w:rPr>
          <w:b/>
        </w:rPr>
      </w:pPr>
      <w:r>
        <w:rPr>
          <w:b/>
        </w:rPr>
      </w:r>
    </w:p>
    <w:p>
      <w:pPr>
        <w:pStyle w:val="Normal"/>
        <w:ind w:hanging="630" w:start="630" w:end="0"/>
        <w:rPr/>
      </w:pPr>
      <w:r>
        <w:rPr/>
        <w:tab/>
      </w:r>
      <w:r>
        <w:rPr>
          <w:b/>
        </w:rPr>
        <w:t>For the purposes of the following questions, it should be assumed that neither the Enron entity processing new customers nor the Enron entity contracting with the customer will have either a fixed place of business in your jurisdiction, or a dependent agent in your jurisdiction.  It should also be assumed that none of the product design, pricing or structuring will be undertaken in your jurisdiction.</w:t>
      </w:r>
    </w:p>
    <w:p>
      <w:pPr>
        <w:pStyle w:val="Normal"/>
        <w:ind w:hanging="630" w:start="630" w:end="0"/>
        <w:rPr>
          <w:b/>
        </w:rPr>
      </w:pPr>
      <w:r>
        <w:rPr>
          <w:b/>
        </w:rPr>
      </w:r>
    </w:p>
    <w:p>
      <w:pPr>
        <w:pStyle w:val="Normal"/>
        <w:ind w:hanging="720" w:start="1350" w:end="0"/>
        <w:rPr>
          <w:b/>
        </w:rPr>
      </w:pPr>
      <w:r>
        <w:rPr>
          <w:b/>
        </w:rPr>
        <w:t xml:space="preserve">(a)  </w:t>
        <w:tab/>
        <w:t>Will the Enron entity contracting via the Internet be deemed to have a permanent establishment in your jurisdiction?</w:t>
      </w:r>
    </w:p>
    <w:p>
      <w:pPr>
        <w:pStyle w:val="Normal"/>
        <w:ind w:hanging="720" w:start="1350" w:end="0"/>
        <w:rPr>
          <w:b/>
        </w:rPr>
      </w:pPr>
      <w:r>
        <w:rPr>
          <w:b/>
        </w:rPr>
      </w:r>
    </w:p>
    <w:p>
      <w:pPr>
        <w:pStyle w:val="Sangra3detindependiente"/>
        <w:rPr/>
      </w:pPr>
      <w:r>
        <w:rPr/>
        <w:tab/>
        <w:t>No.</w:t>
      </w:r>
    </w:p>
    <w:p>
      <w:pPr>
        <w:pStyle w:val="Normal"/>
        <w:ind w:hanging="720" w:start="1350" w:end="0"/>
        <w:rPr/>
      </w:pPr>
      <w:r>
        <w:rPr/>
      </w:r>
    </w:p>
    <w:p>
      <w:pPr>
        <w:pStyle w:val="Normal"/>
        <w:ind w:hanging="720" w:start="1350" w:end="0"/>
        <w:rPr>
          <w:b/>
        </w:rPr>
      </w:pPr>
      <w:r>
        <w:rPr>
          <w:b/>
        </w:rPr>
        <w:t>(b)</w:t>
        <w:tab/>
        <w:t>If a website is hosted (i.e. server located) in your jurisdiction does this change the answer to question (a)?</w:t>
      </w:r>
    </w:p>
    <w:p>
      <w:pPr>
        <w:pStyle w:val="Normal"/>
        <w:ind w:hanging="720" w:start="1350" w:end="0"/>
        <w:rPr>
          <w:b/>
        </w:rPr>
      </w:pPr>
      <w:r>
        <w:rPr>
          <w:b/>
        </w:rPr>
      </w:r>
    </w:p>
    <w:p>
      <w:pPr>
        <w:pStyle w:val="Normal"/>
        <w:ind w:hanging="720" w:start="1350" w:end="0"/>
        <w:rPr/>
      </w:pPr>
      <w:r>
        <w:rPr/>
        <w:tab/>
        <w:t>Although it is not clear it may be considered that Enron has a permanent establishment in Mexico and therefore all income attributable to such establishment may be taxable in Mexico.</w:t>
      </w:r>
    </w:p>
    <w:p>
      <w:pPr>
        <w:pStyle w:val="Normal"/>
        <w:ind w:hanging="720" w:start="1350" w:end="0"/>
        <w:rPr/>
      </w:pPr>
      <w:r>
        <w:rPr/>
      </w:r>
    </w:p>
    <w:p>
      <w:pPr>
        <w:pStyle w:val="Sangra3detindependiente"/>
        <w:rPr>
          <w:b/>
        </w:rPr>
      </w:pPr>
      <w:r>
        <w:rPr>
          <w:b/>
        </w:rPr>
        <w:t>(c)  Will withholding tax apply to any payments made to the Enron entity in respect of online transactions (i.e. a specific online transaction withholding tax)?</w:t>
      </w:r>
    </w:p>
    <w:p>
      <w:pPr>
        <w:pStyle w:val="Sangra3detindependiente"/>
        <w:rPr>
          <w:b/>
        </w:rPr>
      </w:pPr>
      <w:r>
        <w:rPr>
          <w:b/>
        </w:rPr>
      </w:r>
    </w:p>
    <w:p>
      <w:pPr>
        <w:pStyle w:val="Sangra3detindependiente"/>
        <w:rPr/>
      </w:pPr>
      <w:r>
        <w:rPr/>
        <w:tab/>
        <w:t>No.</w:t>
      </w:r>
    </w:p>
    <w:p>
      <w:pPr>
        <w:pStyle w:val="Sangra3detindependiente"/>
        <w:rPr>
          <w:b/>
        </w:rPr>
      </w:pPr>
      <w:r>
        <w:rPr>
          <w:b/>
        </w:rPr>
      </w:r>
    </w:p>
    <w:p>
      <w:pPr>
        <w:pStyle w:val="Sangra3detindependiente"/>
        <w:rPr>
          <w:b/>
        </w:rPr>
      </w:pPr>
      <w:r>
        <w:rPr>
          <w:b/>
        </w:rPr>
        <w:t>(d)</w:t>
        <w:tab/>
        <w:t>Will any other local taxes in your jurisdiction apply to the Enron entity contracting via the Internet?</w:t>
      </w:r>
    </w:p>
    <w:p>
      <w:pPr>
        <w:pStyle w:val="Sangra3detindependiente"/>
        <w:rPr>
          <w:b/>
        </w:rPr>
      </w:pPr>
      <w:r>
        <w:rPr>
          <w:b/>
        </w:rPr>
      </w:r>
    </w:p>
    <w:p>
      <w:pPr>
        <w:pStyle w:val="Sangra3detindependiente"/>
        <w:rPr/>
      </w:pPr>
      <w:r>
        <w:rPr>
          <w:b/>
        </w:rPr>
        <w:tab/>
      </w:r>
      <w:r>
        <w:rPr/>
        <w:t>If the transaction is deemed to be effected in Mexico (i.e. the commodities are in Mexico at the moment they are delivered to the purchaser or if there is no delivery and such assets are located in Mexico), it will be necessary to pay value added tax at a 15% rate.</w:t>
      </w:r>
    </w:p>
    <w:p>
      <w:pPr>
        <w:pStyle w:val="Sangra3detindependiente"/>
        <w:rPr>
          <w:b/>
        </w:rPr>
      </w:pPr>
      <w:r>
        <w:rPr>
          <w:b/>
        </w:rPr>
      </w:r>
    </w:p>
    <w:p>
      <w:pPr>
        <w:pStyle w:val="Sangra3detindependiente"/>
        <w:rPr>
          <w:b/>
        </w:rPr>
      </w:pPr>
      <w:r>
        <w:rPr>
          <w:b/>
        </w:rPr>
        <w:t>(e)</w:t>
        <w:tab/>
        <w:t>Any recent developments with respect to the taxation of Internet transactions which may affect the project?</w:t>
      </w:r>
    </w:p>
    <w:p>
      <w:pPr>
        <w:pStyle w:val="Sangra3detindependiente"/>
        <w:rPr/>
      </w:pPr>
      <w:r>
        <w:rPr/>
      </w:r>
    </w:p>
    <w:p>
      <w:pPr>
        <w:pStyle w:val="Sangra3detindependiente"/>
        <w:rPr/>
      </w:pPr>
      <w:r>
        <w:rPr/>
        <w:tab/>
        <w:t>No.</w:t>
      </w:r>
    </w:p>
    <w:p>
      <w:pPr>
        <w:pStyle w:val="Sangra3detindependiente"/>
        <w:rPr/>
      </w:pPr>
      <w:r>
        <w:rPr/>
      </w:r>
    </w:p>
    <w:p>
      <w:pPr>
        <w:pStyle w:val="Sangra3detindependiente"/>
        <w:ind w:hanging="1440" w:start="1440" w:end="0"/>
        <w:rPr>
          <w:b/>
        </w:rPr>
      </w:pPr>
      <w:r>
        <w:rPr>
          <w:b/>
        </w:rPr>
        <w:t>10.   Products Traded through the Internet:</w:t>
      </w:r>
    </w:p>
    <w:p>
      <w:pPr>
        <w:pStyle w:val="Sangra3detindependiente"/>
        <w:ind w:hanging="1440" w:start="1440" w:end="0"/>
        <w:rPr>
          <w:b/>
        </w:rPr>
      </w:pPr>
      <w:r>
        <w:rPr>
          <w:b/>
        </w:rPr>
      </w:r>
    </w:p>
    <w:p>
      <w:pPr>
        <w:pStyle w:val="Sangra3detindependiente"/>
        <w:ind w:hanging="810" w:start="810" w:end="0"/>
        <w:rPr>
          <w:b/>
        </w:rPr>
      </w:pPr>
      <w:r>
        <w:rPr>
          <w:b/>
        </w:rPr>
        <w:t>10.1 Have relevant regulators in your jurisdiction made any statements regarding marketing of or dealing in any of the following types of products through the Internet or other electronic systems:</w:t>
      </w:r>
    </w:p>
    <w:p>
      <w:pPr>
        <w:pStyle w:val="Sangra3detindependiente"/>
        <w:ind w:hanging="810" w:start="810" w:end="0"/>
        <w:rPr>
          <w:b/>
        </w:rPr>
      </w:pPr>
      <w:r>
        <w:rPr>
          <w:b/>
        </w:rPr>
      </w:r>
    </w:p>
    <w:p>
      <w:pPr>
        <w:pStyle w:val="Sangra3detindependiente"/>
        <w:numPr>
          <w:ilvl w:val="0"/>
          <w:numId w:val="2"/>
        </w:numPr>
        <w:tabs>
          <w:tab w:val="clear" w:pos="708"/>
          <w:tab w:val="left" w:pos="810" w:leader="none"/>
        </w:tabs>
        <w:ind w:hanging="540" w:start="1350" w:end="0"/>
        <w:rPr>
          <w:b/>
        </w:rPr>
      </w:pPr>
      <w:r>
        <w:rPr>
          <w:b/>
        </w:rPr>
        <w:t>Commodity transactions relating to oil, gas, electricity, weather, pulp and paper or other commodities, whether derivative transactions (cash settled) or physically settled.</w:t>
      </w:r>
    </w:p>
    <w:p>
      <w:pPr>
        <w:pStyle w:val="Sangra3detindependiente"/>
        <w:ind w:hanging="0" w:start="810" w:end="0"/>
        <w:rPr>
          <w:b/>
        </w:rPr>
      </w:pPr>
      <w:r>
        <w:rPr>
          <w:b/>
        </w:rPr>
      </w:r>
    </w:p>
    <w:p>
      <w:pPr>
        <w:pStyle w:val="Sangra3detindependiente"/>
        <w:ind w:hanging="0" w:end="0"/>
        <w:rPr/>
      </w:pPr>
      <w:r>
        <w:rPr/>
        <w:t>No.</w:t>
      </w:r>
    </w:p>
    <w:p>
      <w:pPr>
        <w:pStyle w:val="Sangra3detindependiente"/>
        <w:ind w:hanging="0" w:end="0"/>
        <w:rPr/>
      </w:pPr>
      <w:r>
        <w:rPr/>
      </w:r>
    </w:p>
    <w:p>
      <w:pPr>
        <w:pStyle w:val="Sangra3detindependiente"/>
        <w:numPr>
          <w:ilvl w:val="0"/>
          <w:numId w:val="2"/>
        </w:numPr>
        <w:tabs>
          <w:tab w:val="clear" w:pos="708"/>
          <w:tab w:val="left" w:pos="90" w:leader="none"/>
          <w:tab w:val="left" w:pos="810" w:leader="none"/>
        </w:tabs>
        <w:ind w:hanging="540" w:start="1350" w:end="0"/>
        <w:rPr/>
      </w:pPr>
      <w:r>
        <w:rPr>
          <w:b/>
        </w:rPr>
        <w:t>Financial derivatives-i.e. interest rate, foreign exchange, or credit derivatives.</w:t>
      </w:r>
    </w:p>
    <w:p>
      <w:pPr>
        <w:pStyle w:val="Sangra3detindependiente"/>
        <w:rPr/>
      </w:pPr>
      <w:r>
        <w:rPr/>
      </w:r>
    </w:p>
    <w:p>
      <w:pPr>
        <w:pStyle w:val="Sangra3detindependiente"/>
        <w:ind w:start="2070" w:end="0"/>
        <w:rPr/>
      </w:pPr>
      <w:r>
        <w:rPr/>
        <w:t>No.</w:t>
      </w:r>
    </w:p>
    <w:p>
      <w:pPr>
        <w:pStyle w:val="Sangra3detindependiente"/>
        <w:ind w:start="2070" w:end="0"/>
        <w:rPr/>
      </w:pPr>
      <w:r>
        <w:rPr/>
      </w:r>
    </w:p>
    <w:p>
      <w:pPr>
        <w:pStyle w:val="Sangra3detindependiente"/>
        <w:ind w:hanging="1350" w:end="0"/>
        <w:rPr>
          <w:b/>
        </w:rPr>
      </w:pPr>
      <w:r>
        <w:rPr>
          <w:b/>
        </w:rPr>
        <w:t>If so, please could you provide us with a brief summary.</w:t>
      </w:r>
    </w:p>
    <w:p>
      <w:pPr>
        <w:pStyle w:val="Sangra3detindependiente"/>
        <w:ind w:hanging="1350" w:end="0"/>
        <w:rPr>
          <w:b/>
        </w:rPr>
      </w:pPr>
      <w:r>
        <w:rPr>
          <w:b/>
        </w:rPr>
      </w:r>
    </w:p>
    <w:p>
      <w:pPr>
        <w:pStyle w:val="Sangra3detindependiente"/>
        <w:ind w:hanging="900" w:start="900" w:end="0"/>
        <w:rPr>
          <w:b/>
        </w:rPr>
      </w:pPr>
      <w:r>
        <w:rPr>
          <w:b/>
        </w:rPr>
        <w:t>10.2 Do any specific laws or regulations exist in your jurisdiction which would prevent or in any way impact upon marketing or trading of any of the products set out in question 10.1 above through the Internet?  In answering this question please address issues relating to contractual formation and enforceability of contracts entered into via the Internet.  In particular, if a transaction entered into via the Internet is enforceable under U.S. or U.K. law and the transactions contain a choice of such law, will such transactions, including the choice of law, enforceable in your jurisdiction?</w:t>
      </w:r>
    </w:p>
    <w:p>
      <w:pPr>
        <w:pStyle w:val="Sangra3detindependiente"/>
        <w:ind w:hanging="900" w:start="900" w:end="0"/>
        <w:rPr>
          <w:b/>
        </w:rPr>
      </w:pPr>
      <w:r>
        <w:rPr>
          <w:b/>
        </w:rPr>
      </w:r>
    </w:p>
    <w:p>
      <w:pPr>
        <w:pStyle w:val="Sangra3detindependiente"/>
        <w:ind w:hanging="0" w:start="0" w:end="0"/>
        <w:rPr/>
      </w:pPr>
      <w:r>
        <w:rPr/>
        <w:tab/>
        <w:t>There are no particular laws or regulations addressing the issue of marketing or trading of the products described in question 10.1.  However, pursuant to general rules applicable to financial services, only authorized entities (i.e. Mexican banks and broker dealers) may publicly offer in Mexico financial derivatives.  Also, only those authorized persons may participate as intermediary with such financial derivatives in Mexico.</w:t>
      </w:r>
    </w:p>
    <w:p>
      <w:pPr>
        <w:pStyle w:val="Sangra3detindependiente"/>
        <w:ind w:hanging="0" w:start="0" w:end="0"/>
        <w:rPr/>
      </w:pPr>
      <w:r>
        <w:rPr/>
      </w:r>
    </w:p>
    <w:p>
      <w:pPr>
        <w:pStyle w:val="Sangra3detindependiente"/>
        <w:ind w:hanging="0" w:start="0" w:end="0"/>
        <w:rPr/>
      </w:pPr>
      <w:r>
        <w:rPr/>
        <w:tab/>
        <w:t>As mentioned before, private parties may not sale in Mexico “fist hand” oil and electricity.  Therefore, no related marketing or trading is permitted.</w:t>
      </w:r>
    </w:p>
    <w:p>
      <w:pPr>
        <w:pStyle w:val="Sangra3detindependiente"/>
        <w:ind w:hanging="0" w:start="0" w:end="0"/>
        <w:rPr/>
      </w:pPr>
      <w:r>
        <w:rPr/>
      </w:r>
    </w:p>
    <w:p>
      <w:pPr>
        <w:pStyle w:val="Sangra3detindependiente"/>
        <w:ind w:hanging="0" w:start="0" w:end="0"/>
        <w:rPr/>
      </w:pPr>
      <w:r>
        <w:rPr/>
        <w:tab/>
        <w:t>As previously indicated (please see 2.1) agreements entered via the Internet are enforceable in Mexico.  The choice of law of U.S. or U.K. would be valid subject to the comments made in answer 1.</w:t>
      </w:r>
    </w:p>
    <w:p>
      <w:pPr>
        <w:pStyle w:val="Sangra3detindependiente"/>
        <w:ind w:hanging="0" w:start="0" w:end="0"/>
        <w:rPr/>
      </w:pPr>
      <w:r>
        <w:rPr/>
      </w:r>
    </w:p>
    <w:p>
      <w:pPr>
        <w:pStyle w:val="Sangra3detindependiente"/>
        <w:ind w:hanging="900" w:start="900" w:end="0"/>
        <w:rPr>
          <w:b/>
        </w:rPr>
      </w:pPr>
      <w:r>
        <w:rPr>
          <w:b/>
        </w:rPr>
        <w:t>10.3  If the answer to either of question 10.1 or 10.2 is “yes”, please indicate whether the impact of any relevant statements, laws or regulations will differ depending upon whether (a) the relevant Internet site is maintained in your jurisdiction or elsewhere; or (b) the party affecting the marketing/trading through the Internet is locally licensed.</w:t>
      </w:r>
    </w:p>
    <w:p>
      <w:pPr>
        <w:pStyle w:val="Sangra3detindependiente"/>
        <w:ind w:hanging="0" w:start="900" w:end="0"/>
        <w:rPr>
          <w:b/>
        </w:rPr>
      </w:pPr>
      <w:r>
        <w:rPr>
          <w:b/>
        </w:rPr>
      </w:r>
    </w:p>
    <w:p>
      <w:pPr>
        <w:pStyle w:val="Sangra3detindependiente"/>
        <w:ind w:firstLine="708" w:start="0" w:end="0"/>
        <w:rPr/>
      </w:pPr>
      <w:r>
        <w:rPr/>
        <w:t>The analysis will change with respect of financial derivatives if the offeror is a licensed Mexican bank or broker dealer.  In such case there would be no restrictions.</w:t>
      </w:r>
    </w:p>
    <w:p>
      <w:pPr>
        <w:pStyle w:val="Sangra3detindependiente"/>
        <w:ind w:hanging="0" w:start="900" w:end="0"/>
        <w:rPr/>
      </w:pPr>
      <w:r>
        <w:rPr/>
      </w:r>
    </w:p>
    <w:p>
      <w:pPr>
        <w:pStyle w:val="Sangra3detindependiente"/>
        <w:ind w:hanging="900" w:start="900" w:end="0"/>
        <w:rPr>
          <w:b/>
        </w:rPr>
      </w:pPr>
      <w:r>
        <w:rPr>
          <w:b/>
        </w:rPr>
        <w:t>10.4</w:t>
        <w:tab/>
        <w:t>Please confirm that by marketing to or trading with counterparts in your jurisdiction via the Internet local relevant regulatory bodies/local laws or regulations will not consider the party maintaining the relevant website to have established a physical establishment/branch in your jurisdiction.</w:t>
        <w:tab/>
      </w:r>
    </w:p>
    <w:p>
      <w:pPr>
        <w:pStyle w:val="Sangra3detindependiente"/>
        <w:ind w:hanging="900" w:start="900" w:end="0"/>
        <w:rPr>
          <w:b/>
        </w:rPr>
      </w:pPr>
      <w:r>
        <w:rPr>
          <w:b/>
        </w:rPr>
      </w:r>
    </w:p>
    <w:p>
      <w:pPr>
        <w:pStyle w:val="Sangra3detindependiente"/>
        <w:ind w:hanging="0" w:start="0" w:end="0"/>
        <w:rPr/>
      </w:pPr>
      <w:r>
        <w:rPr>
          <w:b/>
        </w:rPr>
        <w:tab/>
      </w:r>
      <w:r>
        <w:rPr/>
        <w:t>The marketing to or trading with local counterparts will not be considered as if Enron would have established a physical establishment/branch.</w:t>
      </w:r>
    </w:p>
    <w:sectPr>
      <w:headerReference w:type="default" r:id="rId2"/>
      <w:headerReference w:type="first" r:id="rId3"/>
      <w:footerReference w:type="default" r:id="rId4"/>
      <w:footerReference w:type="first" r:id="rId5"/>
      <w:type w:val="nextPage"/>
      <w:pgSz w:w="12240" w:h="15840"/>
      <w:pgMar w:left="1584" w:right="1440" w:gutter="0" w:header="2160" w:top="2216" w:footer="144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ourier">
    <w:altName w:val="Courier New"/>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page">
                <wp:posOffset>1009650</wp:posOffset>
              </wp:positionH>
              <wp:positionV relativeFrom="paragraph">
                <wp:posOffset>-180340</wp:posOffset>
              </wp:positionV>
              <wp:extent cx="5941060" cy="172720"/>
              <wp:effectExtent l="0" t="0" r="0" b="0"/>
              <wp:wrapSquare wrapText="bothSides"/>
              <wp:docPr id="3" name="Frame1"/>
              <a:graphic xmlns:a="http://schemas.openxmlformats.org/drawingml/2006/main">
                <a:graphicData uri="http://schemas.microsoft.com/office/word/2010/wordprocessingShape">
                  <wps:wsp>
                    <wps:cNvSpPr txBox="1"/>
                    <wps:spPr>
                      <a:xfrm>
                        <a:off x="0" y="0"/>
                        <a:ext cx="5941060" cy="172720"/>
                      </a:xfrm>
                      <a:prstGeom prst="rect"/>
                      <a:solidFill>
                        <a:srgbClr val="FFFFFF">
                          <a:alpha val="0"/>
                        </a:srgbClr>
                      </a:solidFill>
                    </wps:spPr>
                    <wps:txbx>
                      <w:txbxContent>
                        <w:tbl>
                          <w:tblPr>
                            <w:tblW w:w="9356" w:type="dxa"/>
                            <w:jc w:val="start"/>
                            <w:tblInd w:w="70" w:type="dxa"/>
                            <w:tblLayout w:type="fixed"/>
                            <w:tblCellMar>
                              <w:top w:w="0" w:type="dxa"/>
                              <w:start w:w="70" w:type="dxa"/>
                              <w:bottom w:w="0" w:type="dxa"/>
                              <w:end w:w="70" w:type="dxa"/>
                            </w:tblCellMar>
                          </w:tblPr>
                          <w:tblGrid>
                            <w:gridCol w:w="4678"/>
                            <w:gridCol w:w="4678"/>
                          </w:tblGrid>
                          <w:tr>
                            <w:trPr/>
                            <w:tc>
                              <w:tcPr>
                                <w:tcW w:w="4678" w:type="dxa"/>
                                <w:tcBorders/>
                              </w:tcPr>
                              <w:p>
                                <w:pPr>
                                  <w:pStyle w:val="Footer"/>
                                  <w:snapToGrid w:val="false"/>
                                  <w:rPr/>
                                </w:pPr>
                                <w:r>
                                  <w:rPr/>
                                </w:r>
                              </w:p>
                            </w:tc>
                            <w:tc>
                              <w:tcPr>
                                <w:tcW w:w="4678" w:type="dxa"/>
                                <w:tcBorders/>
                              </w:tcPr>
                              <w:p>
                                <w:pPr>
                                  <w:pStyle w:val="Footer"/>
                                  <w:jc w:val="end"/>
                                  <w:rPr>
                                    <w:sz w:val="16"/>
                                  </w:rPr>
                                </w:pPr>
                                <w:r>
                                  <w:rPr>
                                    <w:sz w:val="16"/>
                                  </w:rPr>
                                  <w:t>13215v2 07/07/00</w:t>
                                </w:r>
                              </w:p>
                            </w:tc>
                          </w:tr>
                        </w:tbl>
                      </w:txbxContent>
                    </wps:txbx>
                    <wps:bodyPr anchor="t" lIns="0" tIns="0" rIns="0" bIns="0">
                      <a:noAutofit/>
                    </wps:bodyPr>
                  </wps:wsp>
                </a:graphicData>
              </a:graphic>
            </wp:anchor>
          </w:drawing>
        </mc:Choice>
        <mc:Fallback>
          <w:pict>
            <v:rect fillcolor="#FFFFFF" style="position:absolute;rotation:-0;width:467.8pt;height:13.6pt;mso-wrap-distance-left:0pt;mso-wrap-distance-right:0pt;mso-wrap-distance-top:0pt;mso-wrap-distance-bottom:0pt;margin-top:-14.2pt;mso-position-vertical-relative:text;margin-left:79.5pt;mso-position-horizontal-relative:page">
              <v:fill opacity="0f"/>
              <v:textbox inset="0in,0in,0in,0in">
                <w:txbxContent>
                  <w:tbl>
                    <w:tblPr>
                      <w:tblW w:w="9356" w:type="dxa"/>
                      <w:jc w:val="start"/>
                      <w:tblInd w:w="70" w:type="dxa"/>
                      <w:tblLayout w:type="fixed"/>
                      <w:tblCellMar>
                        <w:top w:w="0" w:type="dxa"/>
                        <w:start w:w="70" w:type="dxa"/>
                        <w:bottom w:w="0" w:type="dxa"/>
                        <w:end w:w="70" w:type="dxa"/>
                      </w:tblCellMar>
                    </w:tblPr>
                    <w:tblGrid>
                      <w:gridCol w:w="4678"/>
                      <w:gridCol w:w="4678"/>
                    </w:tblGrid>
                    <w:tr>
                      <w:trPr/>
                      <w:tc>
                        <w:tcPr>
                          <w:tcW w:w="4678" w:type="dxa"/>
                          <w:tcBorders/>
                        </w:tcPr>
                        <w:p>
                          <w:pPr>
                            <w:pStyle w:val="Footer"/>
                            <w:snapToGrid w:val="false"/>
                            <w:rPr/>
                          </w:pPr>
                          <w:r>
                            <w:rPr/>
                          </w:r>
                        </w:p>
                      </w:tc>
                      <w:tc>
                        <w:tcPr>
                          <w:tcW w:w="4678" w:type="dxa"/>
                          <w:tcBorders/>
                        </w:tcPr>
                        <w:p>
                          <w:pPr>
                            <w:pStyle w:val="Footer"/>
                            <w:jc w:val="end"/>
                            <w:rPr>
                              <w:sz w:val="16"/>
                            </w:rPr>
                          </w:pPr>
                          <w:r>
                            <w:rPr>
                              <w:sz w:val="16"/>
                            </w:rPr>
                            <w:t>13215v2 07/07/00</w:t>
                          </w:r>
                        </w:p>
                      </w:tc>
                    </w:tr>
                  </w:tbl>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56" w:type="dxa"/>
      <w:jc w:val="start"/>
      <w:tblInd w:w="0" w:type="dxa"/>
      <w:tblLayout w:type="fixed"/>
      <w:tblCellMar>
        <w:top w:w="0" w:type="dxa"/>
        <w:start w:w="70" w:type="dxa"/>
        <w:bottom w:w="0" w:type="dxa"/>
        <w:end w:w="70" w:type="dxa"/>
      </w:tblCellMar>
    </w:tblPr>
    <w:tblGrid>
      <w:gridCol w:w="4678"/>
      <w:gridCol w:w="4678"/>
    </w:tblGrid>
    <w:tr>
      <w:trPr/>
      <w:tc>
        <w:tcPr>
          <w:tcW w:w="4678" w:type="dxa"/>
          <w:tcBorders/>
        </w:tcPr>
        <w:p>
          <w:pPr>
            <w:pStyle w:val="Footer"/>
            <w:snapToGrid w:val="false"/>
            <w:rPr/>
          </w:pPr>
          <w:r>
            <w:rPr/>
          </w:r>
        </w:p>
      </w:tc>
      <w:tc>
        <w:tcPr>
          <w:tcW w:w="4678" w:type="dxa"/>
          <w:tcBorders/>
        </w:tcPr>
        <w:p>
          <w:pPr>
            <w:pStyle w:val="Footer"/>
            <w:jc w:val="end"/>
            <w:rPr>
              <w:sz w:val="16"/>
            </w:rPr>
          </w:pPr>
          <w:r>
            <w:rPr>
              <w:sz w:val="16"/>
            </w:rPr>
            <w:t>13215v2 07/07/00</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25">
              <wp:simplePos x="0" y="0"/>
              <wp:positionH relativeFrom="page">
                <wp:posOffset>3841115</wp:posOffset>
              </wp:positionH>
              <wp:positionV relativeFrom="paragraph">
                <wp:posOffset>-456565</wp:posOffset>
              </wp:positionV>
              <wp:extent cx="183515" cy="172720"/>
              <wp:effectExtent l="0" t="0" r="0" b="0"/>
              <wp:wrapSquare wrapText="bothSides"/>
              <wp:docPr id="1" name="Frame2"/>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35.95pt;mso-position-vertical-relative:text;margin-left:302.45pt;mso-position-horizontal-relative:page">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37">
              <wp:simplePos x="0" y="0"/>
              <wp:positionH relativeFrom="page">
                <wp:posOffset>826770</wp:posOffset>
              </wp:positionH>
              <wp:positionV relativeFrom="page">
                <wp:posOffset>9693275</wp:posOffset>
              </wp:positionV>
              <wp:extent cx="5941060" cy="172720"/>
              <wp:effectExtent l="0" t="0" r="0" b="0"/>
              <wp:wrapSquare wrapText="bothSides"/>
              <wp:docPr id="2" name="Frame3"/>
              <a:graphic xmlns:a="http://schemas.openxmlformats.org/drawingml/2006/main">
                <a:graphicData uri="http://schemas.microsoft.com/office/word/2010/wordprocessingShape">
                  <wps:wsp>
                    <wps:cNvSpPr txBox="1"/>
                    <wps:spPr>
                      <a:xfrm>
                        <a:off x="0" y="0"/>
                        <a:ext cx="5941060" cy="172720"/>
                      </a:xfrm>
                      <a:prstGeom prst="rect"/>
                      <a:solidFill>
                        <a:srgbClr val="FFFFFF">
                          <a:alpha val="0"/>
                        </a:srgbClr>
                      </a:solidFill>
                    </wps:spPr>
                    <wps:txbx>
                      <w:txbxContent>
                        <w:tbl>
                          <w:tblPr>
                            <w:tblW w:w="9356" w:type="dxa"/>
                            <w:jc w:val="start"/>
                            <w:tblInd w:w="70" w:type="dxa"/>
                            <w:tblLayout w:type="fixed"/>
                            <w:tblCellMar>
                              <w:top w:w="0" w:type="dxa"/>
                              <w:start w:w="70" w:type="dxa"/>
                              <w:bottom w:w="0" w:type="dxa"/>
                              <w:end w:w="70" w:type="dxa"/>
                            </w:tblCellMar>
                          </w:tblPr>
                          <w:tblGrid>
                            <w:gridCol w:w="4678"/>
                            <w:gridCol w:w="4678"/>
                          </w:tblGrid>
                          <w:tr>
                            <w:trPr/>
                            <w:tc>
                              <w:tcPr>
                                <w:tcW w:w="4678" w:type="dxa"/>
                                <w:tcBorders/>
                              </w:tcPr>
                              <w:p>
                                <w:pPr>
                                  <w:pStyle w:val="Footer"/>
                                  <w:snapToGrid w:val="false"/>
                                  <w:rPr/>
                                </w:pPr>
                                <w:r>
                                  <w:rPr/>
                                </w:r>
                              </w:p>
                            </w:tc>
                            <w:tc>
                              <w:tcPr>
                                <w:tcW w:w="4678" w:type="dxa"/>
                                <w:tcBorders/>
                              </w:tcPr>
                              <w:p>
                                <w:pPr>
                                  <w:pStyle w:val="Footer"/>
                                  <w:snapToGrid w:val="false"/>
                                  <w:jc w:val="end"/>
                                  <w:rPr>
                                    <w:sz w:val="16"/>
                                  </w:rPr>
                                </w:pPr>
                                <w:r>
                                  <w:rPr>
                                    <w:sz w:val="16"/>
                                  </w:rPr>
                                </w:r>
                              </w:p>
                            </w:tc>
                          </w:tr>
                        </w:tbl>
                      </w:txbxContent>
                    </wps:txbx>
                    <wps:bodyPr anchor="t" lIns="0" tIns="0" rIns="0" bIns="0">
                      <a:noAutofit/>
                    </wps:bodyPr>
                  </wps:wsp>
                </a:graphicData>
              </a:graphic>
            </wp:anchor>
          </w:drawing>
        </mc:Choice>
        <mc:Fallback>
          <w:pict>
            <v:rect fillcolor="#FFFFFF" style="position:absolute;rotation:-0;width:467.8pt;height:13.6pt;mso-wrap-distance-left:0pt;mso-wrap-distance-right:0pt;mso-wrap-distance-top:0pt;mso-wrap-distance-bottom:0pt;margin-top:763.25pt;mso-position-vertical-relative:page;margin-left:65.1pt;mso-position-horizontal-relative:page">
              <v:fill opacity="0f"/>
              <v:textbox inset="0in,0in,0in,0in">
                <w:txbxContent>
                  <w:tbl>
                    <w:tblPr>
                      <w:tblW w:w="9356" w:type="dxa"/>
                      <w:jc w:val="start"/>
                      <w:tblInd w:w="70" w:type="dxa"/>
                      <w:tblLayout w:type="fixed"/>
                      <w:tblCellMar>
                        <w:top w:w="0" w:type="dxa"/>
                        <w:start w:w="70" w:type="dxa"/>
                        <w:bottom w:w="0" w:type="dxa"/>
                        <w:end w:w="70" w:type="dxa"/>
                      </w:tblCellMar>
                    </w:tblPr>
                    <w:tblGrid>
                      <w:gridCol w:w="4678"/>
                      <w:gridCol w:w="4678"/>
                    </w:tblGrid>
                    <w:tr>
                      <w:trPr/>
                      <w:tc>
                        <w:tcPr>
                          <w:tcW w:w="4678" w:type="dxa"/>
                          <w:tcBorders/>
                        </w:tcPr>
                        <w:p>
                          <w:pPr>
                            <w:pStyle w:val="Footer"/>
                            <w:snapToGrid w:val="false"/>
                            <w:rPr/>
                          </w:pPr>
                          <w:r>
                            <w:rPr/>
                          </w:r>
                        </w:p>
                      </w:tc>
                      <w:tc>
                        <w:tcPr>
                          <w:tcW w:w="4678" w:type="dxa"/>
                          <w:tcBorders/>
                        </w:tcPr>
                        <w:p>
                          <w:pPr>
                            <w:pStyle w:val="Footer"/>
                            <w:snapToGrid w:val="false"/>
                            <w:jc w:val="end"/>
                            <w:rPr>
                              <w:sz w:val="16"/>
                            </w:rPr>
                          </w:pPr>
                          <w:r>
                            <w:rPr>
                              <w:sz w:val="16"/>
                            </w:rPr>
                          </w:r>
                        </w:p>
                      </w:tc>
                    </w:tr>
                  </w:tbl>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ourier New" w:hAnsi="Courier New" w:eastAsia="Times New Roman" w:cs="Courier New"/>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u w:val="single"/>
    </w:rPr>
  </w:style>
  <w:style w:type="character" w:styleId="WW8Num1z0">
    <w:name w:val="WW8Num1z0"/>
    <w:qFormat/>
    <w:rPr>
      <w:rFonts w:ascii="Symbol" w:hAnsi="Symbol" w:cs="Symbol"/>
    </w:rPr>
  </w:style>
  <w:style w:type="character" w:styleId="Fuentedeprrafopredeter">
    <w:name w:val="Fuente de párrafo predeter."/>
    <w:qFormat/>
    <w:rPr/>
  </w:style>
  <w:style w:type="character" w:styleId="PageNumber">
    <w:name w:val="page number"/>
    <w:basedOn w:val="Fuentedeprrafopredet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32" w:start="1440" w:end="0"/>
    </w:pPr>
    <w:rPr>
      <w:lang w:val="es-MX"/>
    </w:rPr>
  </w:style>
  <w:style w:type="paragraph" w:styleId="Sangra2detindependiente">
    <w:name w:val="Sangría 2 de t. independiente"/>
    <w:basedOn w:val="Normal"/>
    <w:qFormat/>
    <w:pPr>
      <w:ind w:hanging="630" w:start="630" w:end="0"/>
    </w:pPr>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Sangra3detindependiente">
    <w:name w:val="Sangría 3 de t. independiente"/>
    <w:basedOn w:val="Normal"/>
    <w:qFormat/>
    <w:pPr>
      <w:ind w:hanging="720" w:start="135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252"/>
        <w:tab w:val="clear" w:pos="8504"/>
        <w:tab w:val="center" w:pos="4608" w:leader="none"/>
        <w:tab w:val="right" w:pos="9216"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2000-07-05T17:18:00Z</dcterms:created>
  <dc:creator>Aya Anguiano</dc:creator>
  <dc:description/>
  <dc:language>en-CA</dc:language>
  <cp:lastModifiedBy>Pablo Perezalonso</cp:lastModifiedBy>
  <cp:lastPrinted>2000-07-07T19:48:00Z</cp:lastPrinted>
  <dcterms:modified xsi:type="dcterms:W3CDTF">2000-07-07T22:19:00Z</dcterms:modified>
  <cp:revision>20</cp:revision>
  <dc:subject/>
  <dc:title>RHM Draft</dc:title>
</cp:coreProperties>
</file>