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00" w:leader="none"/>
        </w:tabs>
        <w:rPr>
          <w:sz w:val="22"/>
        </w:rPr>
      </w:pPr>
      <w:r>
        <w:rPr>
          <w:sz w:val="22"/>
        </w:rPr>
      </w:r>
    </w:p>
    <w:p>
      <w:pPr>
        <w:pStyle w:val="Normal"/>
        <w:rPr>
          <w:sz w:val="22"/>
        </w:rPr>
      </w:pPr>
      <w:r>
        <w:rPr>
          <w:sz w:val="22"/>
        </w:rPr>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i/>
                <w:i/>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Heading1"/>
        <w:ind w:hanging="0" w:start="0"/>
        <w:rPr/>
      </w:pPr>
      <w:r>
        <w:rPr/>
      </w:r>
    </w:p>
    <w:p>
      <w:pPr>
        <w:pStyle w:val="Heading1"/>
        <w:ind w:hanging="0" w:start="0"/>
        <w:rPr/>
      </w:pPr>
      <w:r>
        <w:rPr/>
        <w:t>REVISED</w:t>
      </w:r>
    </w:p>
    <w:p>
      <w:pPr>
        <w:pStyle w:val="Normal"/>
        <w:jc w:val="center"/>
        <w:rPr/>
      </w:pPr>
      <w:r>
        <w:rPr>
          <w:b/>
          <w:sz w:val="22"/>
          <w:u w:val="single"/>
        </w:rPr>
        <w:t>CONFIRMATION OF OPTION</w:t>
      </w:r>
      <w:r>
        <w:rPr>
          <w:sz w:val="22"/>
        </w:rPr>
        <w:t xml:space="preserve"> </w:t>
      </w:r>
    </w:p>
    <w:p>
      <w:pPr>
        <w:pStyle w:val="Normal"/>
        <w:rPr>
          <w:sz w:val="22"/>
        </w:rPr>
      </w:pPr>
      <w:r>
        <w:rPr>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August 22, 2000</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Puget Sound Energy, Inc.</w:t>
      </w:r>
      <w:r>
        <w:rPr>
          <w:sz w:val="22"/>
        </w:rPr>
        <w:fldChar w:fldCharType="end"/>
      </w:r>
      <w:r>
        <w:rPr>
          <w:sz w:val="22"/>
        </w:rPr>
        <w:t xml:space="preserve"> (“Counterparty")</w:t>
      </w:r>
    </w:p>
    <w:p>
      <w:pPr>
        <w:pStyle w:val="Normal"/>
        <w:rPr>
          <w:sz w:val="22"/>
        </w:rPr>
      </w:pPr>
      <w:r>
        <w:rPr>
          <w:sz w:val="22"/>
        </w:rPr>
        <w:t>Attention:</w:t>
        <w:tab/>
        <w:tab/>
        <w:tab/>
        <w:t>Tin Fong</w:t>
      </w:r>
      <w:r>
        <w:rPr>
          <w:sz w:val="22"/>
        </w:rPr>
        <w:fldChar w:fldCharType="begin"/>
      </w:r>
      <w:r>
        <w:rPr>
          <w:sz w:val="22"/>
        </w:rPr>
        <w:instrText xml:space="preserve"> MERGEFIELD Attention </w:instrText>
      </w:r>
      <w:r>
        <w:rPr>
          <w:sz w:val="22"/>
        </w:rPr>
        <w:fldChar w:fldCharType="separate"/>
      </w:r>
      <w:r>
        <w:rPr>
          <w:sz w:val="22"/>
        </w:rPr>
      </w:r>
      <w:r>
        <w:rPr>
          <w:sz w:val="22"/>
        </w:rPr>
        <w:fldChar w:fldCharType="end"/>
      </w:r>
    </w:p>
    <w:p>
      <w:pPr>
        <w:pStyle w:val="Normal"/>
        <w:rPr>
          <w:sz w:val="22"/>
        </w:rPr>
      </w:pPr>
      <w:r>
        <w:rPr>
          <w:sz w:val="22"/>
        </w:rPr>
        <w:t>Fax No.:</w:t>
        <w:tab/>
        <w:tab/>
        <w:tab/>
        <w:t>(425) 462-3175</w:t>
      </w:r>
      <w:r>
        <w:rPr>
          <w:sz w:val="22"/>
        </w:rPr>
        <w:fldChar w:fldCharType="begin"/>
      </w:r>
      <w:r>
        <w:rPr>
          <w:sz w:val="22"/>
        </w:rPr>
        <w:instrText xml:space="preserve"> MERGEFIELD CounterpartyFax </w:instrText>
      </w:r>
      <w:r>
        <w:rPr>
          <w:sz w:val="22"/>
        </w:rPr>
        <w:fldChar w:fldCharType="separate"/>
      </w:r>
      <w:r>
        <w:rPr>
          <w:sz w:val="22"/>
        </w:rPr>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Commodity Swaption</w:t>
      </w:r>
    </w:p>
    <w:p>
      <w:pPr>
        <w:pStyle w:val="Normal"/>
        <w:rPr>
          <w:sz w:val="22"/>
        </w:rPr>
      </w:pPr>
      <w:r>
        <w:rPr>
          <w:sz w:val="22"/>
        </w:rPr>
        <w:t>Contract  No.:</w:t>
        <w:tab/>
        <w:tab/>
        <w:tab/>
        <w:t>ENA Contract No.</w:t>
      </w:r>
      <w:r>
        <w:rPr>
          <w:sz w:val="22"/>
        </w:rPr>
        <w:fldChar w:fldCharType="begin"/>
      </w:r>
      <w:r>
        <w:rPr>
          <w:sz w:val="22"/>
        </w:rPr>
        <w:instrText xml:space="preserve"> MERGEFIELD DealNumber </w:instrText>
      </w:r>
      <w:r>
        <w:rPr>
          <w:sz w:val="22"/>
        </w:rPr>
        <w:fldChar w:fldCharType="separate"/>
      </w:r>
      <w:r>
        <w:rPr>
          <w:sz w:val="22"/>
        </w:rPr>
        <w:t>389124.1</w:t>
      </w:r>
      <w:r>
        <w:rPr>
          <w:sz w:val="22"/>
        </w:rPr>
        <w:fldChar w:fldCharType="end"/>
      </w:r>
    </w:p>
    <w:p>
      <w:pPr>
        <w:pStyle w:val="Normal"/>
        <w:rPr>
          <w:sz w:val="22"/>
        </w:rPr>
      </w:pPr>
      <w:r>
        <w:rPr>
          <w:sz w:val="22"/>
        </w:rPr>
      </w:r>
    </w:p>
    <w:p>
      <w:pPr>
        <w:pStyle w:val="Normal"/>
        <w:jc w:val="both"/>
        <w:rPr>
          <w:sz w:val="22"/>
        </w:rPr>
      </w:pPr>
      <w:r>
        <w:rPr>
          <w:sz w:val="22"/>
        </w:rPr>
        <w:tab/>
        <w:t>This revised confirmation supersedes the prior confirmation dated August 8, 2000. The purpose of this letter agreement (together with the General Terms and Conditions as set forth in the Agreement Governing General Terms and Conditions of Financial Derivative Transactions dated May 15, 2000, collectively the "Agreement") is to confirm the terms and conditions of the transaction entered into between us on the Trade Date specified below (the "Transaction") pursuant to a telephone conversation between the parties whereby we accepted your offer to enter into the Transaction.  The terms of the particular Transaction to which this Confirmation relates are as follows:</w:t>
      </w:r>
    </w:p>
    <w:p>
      <w:pPr>
        <w:pStyle w:val="Normal"/>
        <w:jc w:val="both"/>
        <w:rPr>
          <w:sz w:val="22"/>
        </w:rPr>
      </w:pPr>
      <w:r>
        <w:rPr>
          <w:sz w:val="22"/>
        </w:rPr>
      </w:r>
    </w:p>
    <w:p>
      <w:pPr>
        <w:pStyle w:val="Normal"/>
        <w:rPr>
          <w:sz w:val="22"/>
        </w:rPr>
      </w:pPr>
      <w:r>
        <w:rPr>
          <w:b/>
          <w:sz w:val="22"/>
        </w:rPr>
        <w:t>General Terms for Option:</w:t>
      </w:r>
    </w:p>
    <w:p>
      <w:pPr>
        <w:pStyle w:val="Normal"/>
        <w:rPr>
          <w:sz w:val="22"/>
        </w:rPr>
      </w:pPr>
      <w:r>
        <w:rPr>
          <w:sz w:val="22"/>
        </w:rPr>
      </w:r>
    </w:p>
    <w:p>
      <w:pPr>
        <w:pStyle w:val="Normal"/>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August 8, 2000</w:t>
      </w:r>
      <w:r>
        <w:rPr>
          <w:sz w:val="22"/>
        </w:rPr>
        <w:fldChar w:fldCharType="end"/>
      </w:r>
    </w:p>
    <w:p>
      <w:pPr>
        <w:pStyle w:val="Normal"/>
        <w:rPr>
          <w:sz w:val="22"/>
        </w:rPr>
      </w:pPr>
      <w:r>
        <w:rPr>
          <w:sz w:val="22"/>
        </w:rPr>
      </w:r>
    </w:p>
    <w:p>
      <w:pPr>
        <w:pStyle w:val="Normal"/>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p>
      <w:pPr>
        <w:pStyle w:val="Normal"/>
        <w:rPr>
          <w:sz w:val="22"/>
        </w:rPr>
      </w:pPr>
      <w:r>
        <w:rPr>
          <w:sz w:val="22"/>
        </w:rPr>
      </w:r>
    </w:p>
    <w:p>
      <w:pPr>
        <w:pStyle w:val="Normal"/>
        <w:rPr>
          <w:sz w:val="22"/>
        </w:rPr>
      </w:pPr>
      <w:r>
        <w:rPr>
          <w:sz w:val="22"/>
        </w:rPr>
        <w:tab/>
        <w:t>Option Style:</w:t>
        <w:tab/>
        <w:tab/>
        <w:tab/>
        <w:tab/>
        <w:t>Asian</w:t>
      </w:r>
    </w:p>
    <w:p>
      <w:pPr>
        <w:pStyle w:val="Normal"/>
        <w:rPr>
          <w:sz w:val="22"/>
        </w:rPr>
      </w:pPr>
      <w:r>
        <w:rPr>
          <w:sz w:val="22"/>
        </w:rPr>
      </w:r>
    </w:p>
    <w:p>
      <w:pPr>
        <w:pStyle w:val="Normal"/>
        <w:rPr>
          <w:sz w:val="22"/>
        </w:rPr>
      </w:pPr>
      <w:r>
        <w:rPr>
          <w:sz w:val="22"/>
        </w:rPr>
        <w:tab/>
        <w:t>Option Type:</w:t>
        <w:tab/>
        <w:tab/>
        <w:tab/>
        <w:tab/>
      </w:r>
      <w:r>
        <w:rPr>
          <w:sz w:val="22"/>
        </w:rPr>
        <w:fldChar w:fldCharType="begin"/>
      </w:r>
      <w:r>
        <w:rPr>
          <w:sz w:val="22"/>
        </w:rPr>
        <w:instrText xml:space="preserve"> MERGEFIELD InstrTypeCallPut </w:instrText>
      </w:r>
      <w:r>
        <w:rPr>
          <w:sz w:val="22"/>
        </w:rPr>
        <w:fldChar w:fldCharType="separate"/>
      </w:r>
      <w:r>
        <w:rPr>
          <w:sz w:val="22"/>
        </w:rPr>
        <w:t>Put</w:t>
      </w:r>
      <w:r>
        <w:rPr>
          <w:sz w:val="22"/>
        </w:rPr>
        <w:fldChar w:fldCharType="end"/>
      </w:r>
    </w:p>
    <w:p>
      <w:pPr>
        <w:pStyle w:val="Normal"/>
        <w:rPr>
          <w:sz w:val="22"/>
        </w:rPr>
      </w:pPr>
      <w:r>
        <w:rPr>
          <w:sz w:val="22"/>
        </w:rPr>
      </w:r>
    </w:p>
    <w:p>
      <w:pPr>
        <w:pStyle w:val="Norma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p>
      <w:pPr>
        <w:pStyle w:val="Norma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r>
    </w:p>
    <w:p>
      <w:pPr>
        <w:pStyle w:val="Normal"/>
        <w:rPr>
          <w:sz w:val="22"/>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US Dollars $1,363,440.00</w:t>
      </w:r>
      <w:r>
        <w:rPr>
          <w:sz w:val="22"/>
        </w:rPr>
        <w:fldChar w:fldCharType="end"/>
      </w:r>
    </w:p>
    <w:p>
      <w:pPr>
        <w:pStyle w:val="Normal"/>
        <w:rPr>
          <w:sz w:val="22"/>
        </w:rPr>
      </w:pPr>
      <w:r>
        <w:rPr>
          <w:sz w:val="22"/>
        </w:rPr>
      </w:r>
    </w:p>
    <w:p>
      <w:pPr>
        <w:pStyle w:val="Norma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August 10, 2000</w:t>
      </w:r>
      <w:r>
        <w:rPr>
          <w:sz w:val="22"/>
        </w:rPr>
        <w:fldChar w:fldCharType="end"/>
      </w:r>
    </w:p>
    <w:p>
      <w:pPr>
        <w:pStyle w:val="Normal"/>
        <w:rPr>
          <w:sz w:val="22"/>
        </w:rPr>
      </w:pPr>
      <w:r>
        <w:rPr>
          <w:sz w:val="22"/>
        </w:rPr>
      </w:r>
    </w:p>
    <w:p>
      <w:pPr>
        <w:pStyle w:val="Normal"/>
        <w:rPr>
          <w:sz w:val="22"/>
        </w:rPr>
      </w:pPr>
      <w:r>
        <w:rPr>
          <w:b/>
          <w:sz w:val="22"/>
        </w:rPr>
        <w:t>Procedures for Exercise:</w:t>
      </w:r>
    </w:p>
    <w:p>
      <w:pPr>
        <w:pStyle w:val="Normal"/>
        <w:rPr>
          <w:sz w:val="22"/>
        </w:rPr>
      </w:pPr>
      <w:r>
        <w:rPr>
          <w:sz w:val="22"/>
        </w:rPr>
      </w:r>
    </w:p>
    <w:p>
      <w:pPr>
        <w:pStyle w:val="Normal"/>
        <w:rPr>
          <w:sz w:val="22"/>
        </w:rPr>
      </w:pPr>
      <w:r>
        <w:rPr>
          <w:sz w:val="22"/>
        </w:rPr>
        <w:tab/>
        <w:t>Automatic Exercise:</w:t>
        <w:tab/>
        <w:tab/>
        <w:tab/>
        <w:t>Applicable</w:t>
      </w:r>
    </w:p>
    <w:p>
      <w:pPr>
        <w:pStyle w:val="Normal"/>
        <w:ind w:end="-360"/>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ind w:firstLine="720" w:end="0"/>
              <w:rPr>
                <w:sz w:val="22"/>
              </w:rPr>
            </w:pPr>
            <w:r>
              <w:rPr>
                <w:sz w:val="22"/>
              </w:rPr>
              <w:t xml:space="preserve">Written Confirmation of </w:t>
            </w:r>
          </w:p>
        </w:tc>
        <w:tc>
          <w:tcPr>
            <w:tcW w:w="5238"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Notice of Exercise:</w:t>
            </w:r>
          </w:p>
        </w:tc>
        <w:tc>
          <w:tcPr>
            <w:tcW w:w="5238" w:type="dxa"/>
            <w:tcBorders/>
          </w:tcPr>
          <w:p>
            <w:pPr>
              <w:pStyle w:val="Normal"/>
              <w:rPr>
                <w:sz w:val="22"/>
              </w:rPr>
            </w:pPr>
            <w:r>
              <w:rPr>
                <w:sz w:val="22"/>
              </w:rPr>
              <w:t>Inapplicable</w:t>
            </w:r>
          </w:p>
        </w:tc>
      </w:tr>
    </w:tbl>
    <w:p>
      <w:pPr>
        <w:pStyle w:val="Normal"/>
        <w:rPr>
          <w:b/>
          <w:sz w:val="22"/>
        </w:rPr>
      </w:pPr>
      <w:r>
        <w:rPr>
          <w:b/>
          <w:sz w:val="22"/>
        </w:rPr>
      </w:r>
    </w:p>
    <w:p>
      <w:pPr>
        <w:pStyle w:val="Normal"/>
        <w:rPr>
          <w:b/>
          <w:sz w:val="22"/>
        </w:rPr>
      </w:pPr>
      <w:r>
        <w:rPr>
          <w:b/>
          <w:sz w:val="22"/>
        </w:rPr>
      </w:r>
    </w:p>
    <w:p>
      <w:pPr>
        <w:pStyle w:val="Normal"/>
        <w:rPr>
          <w:b/>
          <w:sz w:val="22"/>
        </w:rPr>
      </w:pPr>
      <w:r>
        <w:rPr>
          <w:b/>
          <w:sz w:val="22"/>
        </w:rPr>
        <w:t>Transaction Terms:</w:t>
      </w:r>
    </w:p>
    <w:p>
      <w:pPr>
        <w:pStyle w:val="Normal"/>
        <w:rPr>
          <w:b/>
          <w:sz w:val="22"/>
        </w:rPr>
      </w:pPr>
      <w:r>
        <w:rPr>
          <w:b/>
          <w:sz w:val="22"/>
        </w:rPr>
      </w:r>
    </w:p>
    <w:p>
      <w:pPr>
        <w:pStyle w:val="Normal"/>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p>
      <w:pPr>
        <w:pStyle w:val="Normal"/>
        <w:rPr>
          <w:sz w:val="22"/>
        </w:rPr>
      </w:pPr>
      <w:r>
        <w:rPr>
          <w:sz w:val="22"/>
        </w:rPr>
      </w:r>
    </w:p>
    <w:p>
      <w:pPr>
        <w:pStyle w:val="Norma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rPr>
          <w:sz w:val="22"/>
        </w:rPr>
      </w:pPr>
      <w:r>
        <w:rPr>
          <w:sz w:val="22"/>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 xml:space="preserve">             </w:t>
            </w:r>
            <w:r>
              <w:rPr>
                <w:sz w:val="22"/>
              </w:rPr>
              <w:t>Notional Quantity per</w:t>
            </w:r>
          </w:p>
          <w:p>
            <w:pPr>
              <w:pStyle w:val="Normal"/>
              <w:rPr>
                <w:sz w:val="22"/>
              </w:rPr>
            </w:pPr>
            <w:r>
              <w:rPr>
                <w:sz w:val="22"/>
              </w:rPr>
              <w:t xml:space="preserve">             </w:t>
            </w:r>
            <w:r>
              <w:rPr>
                <w:sz w:val="22"/>
              </w:rPr>
              <w:t>Determination Period:</w:t>
            </w:r>
          </w:p>
        </w:tc>
        <w:tc>
          <w:tcPr>
            <w:tcW w:w="5238" w:type="dxa"/>
            <w:tcBorders/>
          </w:tcPr>
          <w:p>
            <w:pPr>
              <w:pStyle w:val="Normal"/>
              <w:snapToGrid w:val="false"/>
              <w:rPr>
                <w:sz w:val="22"/>
              </w:rPr>
            </w:pPr>
            <w:r>
              <w:rPr>
                <w:sz w:val="22"/>
              </w:rPr>
            </w:r>
          </w:p>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75 MWs per hour for each On-Peak Hour during the Determination Period</w:t>
            </w:r>
            <w:r>
              <w:rPr>
                <w:sz w:val="22"/>
              </w:rPr>
              <w:fldChar w:fldCharType="end"/>
            </w:r>
          </w:p>
        </w:tc>
      </w:tr>
      <w:tr>
        <w:trPr/>
        <w:tc>
          <w:tcPr>
            <w:tcW w:w="4338" w:type="dxa"/>
            <w:tcBorders/>
          </w:tcPr>
          <w:p>
            <w:pPr>
              <w:pStyle w:val="Normal"/>
              <w:snapToGrid w:val="false"/>
              <w:rPr>
                <w:sz w:val="22"/>
              </w:rPr>
            </w:pPr>
            <w:r>
              <w:rPr>
                <w:sz w:val="22"/>
              </w:rPr>
            </w:r>
          </w:p>
        </w:tc>
        <w:tc>
          <w:tcPr>
            <w:tcW w:w="5238" w:type="dxa"/>
            <w:tcBorders/>
          </w:tcPr>
          <w:p>
            <w:pPr>
              <w:pStyle w:val="Normal"/>
              <w:snapToGrid w:val="false"/>
              <w:rPr>
                <w:sz w:val="22"/>
              </w:rPr>
            </w:pPr>
            <w:r>
              <w:rPr>
                <w:sz w:val="22"/>
              </w:rPr>
            </w:r>
          </w:p>
        </w:tc>
      </w:tr>
      <w:tr>
        <w:trPr/>
        <w:tc>
          <w:tcPr>
            <w:tcW w:w="4338" w:type="dxa"/>
            <w:tcBorders/>
          </w:tcPr>
          <w:p>
            <w:pPr>
              <w:pStyle w:val="Normal"/>
              <w:rPr>
                <w:sz w:val="22"/>
              </w:rPr>
            </w:pPr>
            <w:r>
              <w:rPr>
                <w:sz w:val="22"/>
              </w:rPr>
              <w:t xml:space="preserve">             </w:t>
            </w:r>
            <w:r>
              <w:rPr>
                <w:sz w:val="22"/>
              </w:rPr>
              <w:t>Total Notional Quantity:</w:t>
            </w:r>
          </w:p>
        </w:tc>
        <w:tc>
          <w:tcPr>
            <w:tcW w:w="5238" w:type="dxa"/>
            <w:tcBorders/>
          </w:tcPr>
          <w:p>
            <w:pPr>
              <w:pStyle w:val="Normal"/>
              <w:rPr>
                <w:sz w:val="22"/>
              </w:rPr>
            </w:pPr>
            <w:r>
              <w:rPr>
                <w:sz w:val="22"/>
              </w:rPr>
              <w:t>91,200 MWh</w:t>
            </w:r>
          </w:p>
        </w:tc>
      </w:tr>
    </w:tbl>
    <w:p>
      <w:pPr>
        <w:pStyle w:val="Normal"/>
        <w:rPr>
          <w:sz w:val="22"/>
        </w:rPr>
      </w:pPr>
      <w:r>
        <w:rPr>
          <w:sz w:val="22"/>
        </w:rPr>
      </w:r>
    </w:p>
    <w:p>
      <w:pPr>
        <w:pStyle w:val="Normal"/>
        <w:rPr>
          <w:sz w:val="22"/>
        </w:rPr>
      </w:pPr>
      <w:r>
        <w:rPr>
          <w:sz w:val="22"/>
        </w:rPr>
        <w:tab/>
        <w:t>Effective Date:</w:t>
        <w:tab/>
        <w:tab/>
        <w:tab/>
        <w:tab/>
      </w:r>
      <w:r>
        <w:rPr>
          <w:sz w:val="22"/>
        </w:rPr>
        <w:fldChar w:fldCharType="begin"/>
      </w:r>
      <w:r>
        <w:rPr>
          <w:sz w:val="22"/>
        </w:rPr>
        <w:instrText xml:space="preserve"> MERGEFIELD TransStartDate </w:instrText>
      </w:r>
      <w:r>
        <w:rPr>
          <w:sz w:val="22"/>
        </w:rPr>
        <w:fldChar w:fldCharType="separate"/>
      </w:r>
      <w:r>
        <w:rPr>
          <w:sz w:val="22"/>
        </w:rPr>
        <w:t>July 1, 2001</w:t>
      </w:r>
      <w:r>
        <w:rPr>
          <w:sz w:val="22"/>
        </w:rPr>
        <w:fldChar w:fldCharType="end"/>
      </w:r>
    </w:p>
    <w:p>
      <w:pPr>
        <w:pStyle w:val="Normal"/>
        <w:rPr>
          <w:sz w:val="22"/>
        </w:rPr>
      </w:pPr>
      <w:r>
        <w:rPr>
          <w:sz w:val="22"/>
        </w:rPr>
      </w:r>
    </w:p>
    <w:p>
      <w:pPr>
        <w:pStyle w:val="Normal"/>
        <w:rPr>
          <w:sz w:val="22"/>
        </w:rPr>
      </w:pPr>
      <w:r>
        <w:rPr>
          <w:sz w:val="22"/>
        </w:rPr>
        <w:tab/>
        <w:t>Termination Date:</w:t>
        <w:tab/>
        <w:tab/>
        <w:tab/>
      </w:r>
      <w:r>
        <w:rPr>
          <w:sz w:val="22"/>
        </w:rPr>
        <w:fldChar w:fldCharType="begin"/>
      </w:r>
      <w:r>
        <w:rPr>
          <w:sz w:val="22"/>
        </w:rPr>
        <w:instrText xml:space="preserve"> MERGEFIELD TransStopDate </w:instrText>
      </w:r>
      <w:r>
        <w:rPr>
          <w:sz w:val="22"/>
        </w:rPr>
        <w:fldChar w:fldCharType="separate"/>
      </w:r>
      <w:r>
        <w:rPr>
          <w:sz w:val="22"/>
        </w:rPr>
        <w:t>September 30, 2001</w:t>
      </w:r>
      <w:r>
        <w:rPr>
          <w:sz w:val="22"/>
        </w:rPr>
        <w:fldChar w:fldCharType="end"/>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ab/>
              <w:t>Determination Period(s):</w:t>
            </w:r>
          </w:p>
        </w:tc>
        <w:tc>
          <w:tcPr>
            <w:tcW w:w="5238" w:type="dxa"/>
            <w:tcBorders/>
          </w:tcPr>
          <w:p>
            <w:pPr>
              <w:pStyle w:val="Normal"/>
              <w:jc w:val="both"/>
              <w:rPr/>
            </w:pPr>
            <w:r>
              <w:rPr>
                <w:sz w:val="22"/>
              </w:rPr>
              <w:t xml:space="preserve">The quarter beginning on </w:t>
            </w:r>
            <w:r>
              <w:rPr>
                <w:sz w:val="22"/>
              </w:rPr>
              <w:fldChar w:fldCharType="begin"/>
            </w:r>
            <w:r>
              <w:rPr>
                <w:sz w:val="22"/>
              </w:rPr>
              <w:instrText xml:space="preserve"> MERGEFIELD TransStartDate </w:instrText>
            </w:r>
            <w:r>
              <w:rPr>
                <w:sz w:val="22"/>
              </w:rPr>
              <w:fldChar w:fldCharType="separate"/>
            </w:r>
            <w:r>
              <w:rPr>
                <w:sz w:val="22"/>
              </w:rPr>
              <w:t>July 1, 2001</w:t>
            </w:r>
            <w:r>
              <w:rPr>
                <w:sz w:val="22"/>
              </w:rPr>
              <w:fldChar w:fldCharType="end"/>
            </w:r>
            <w:r>
              <w:rPr>
                <w:sz w:val="22"/>
              </w:rPr>
              <w:t xml:space="preserve"> and ending on </w:t>
            </w:r>
            <w:r>
              <w:rPr>
                <w:sz w:val="22"/>
              </w:rPr>
              <w:fldChar w:fldCharType="begin"/>
            </w:r>
            <w:r>
              <w:rPr>
                <w:sz w:val="22"/>
              </w:rPr>
              <w:instrText xml:space="preserve"> MERGEFIELD TransStopDate </w:instrText>
            </w:r>
            <w:r>
              <w:rPr>
                <w:sz w:val="22"/>
              </w:rPr>
              <w:fldChar w:fldCharType="separate"/>
            </w:r>
            <w:r>
              <w:rPr>
                <w:sz w:val="22"/>
              </w:rPr>
              <w:t>September 30, 2001</w:t>
            </w:r>
            <w:r>
              <w:rPr>
                <w:sz w:val="22"/>
              </w:rPr>
              <w:fldChar w:fldCharType="end"/>
            </w:r>
            <w:r>
              <w:rPr>
                <w:sz w:val="22"/>
              </w:rPr>
              <w:t xml:space="preserve">.  </w:t>
            </w:r>
          </w:p>
        </w:tc>
      </w:tr>
    </w:tbl>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ab/>
              <w:t>Payment Date(s):</w:t>
            </w:r>
          </w:p>
        </w:tc>
        <w:tc>
          <w:tcPr>
            <w:tcW w:w="5238" w:type="dxa"/>
            <w:tcBorders/>
          </w:tcPr>
          <w:p>
            <w:pPr>
              <w:pStyle w:val="Normal"/>
              <w:jc w:val="both"/>
              <w:rPr>
                <w:sz w:val="22"/>
              </w:rPr>
            </w:pPr>
            <w:r>
              <w:rPr>
                <w:sz w:val="22"/>
              </w:rPr>
              <w:t>The fifth Business Day after the Floating Price is determinable</w:t>
            </w:r>
          </w:p>
        </w:tc>
      </w:tr>
    </w:tbl>
    <w:p>
      <w:pPr>
        <w:pStyle w:val="Normal"/>
        <w:ind w:end="-630"/>
        <w:rPr>
          <w:sz w:val="22"/>
        </w:rPr>
      </w:pPr>
      <w:r>
        <w:rPr>
          <w:sz w:val="22"/>
        </w:rPr>
        <w:tab/>
        <w:tab/>
        <w:tab/>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jc w:val="both"/>
              <w:rPr>
                <w:sz w:val="22"/>
              </w:rPr>
            </w:pPr>
            <w:r>
              <w:rPr>
                <w:sz w:val="22"/>
              </w:rPr>
              <w:t>Strike Price:</w:t>
            </w:r>
          </w:p>
        </w:tc>
        <w:tc>
          <w:tcPr>
            <w:tcW w:w="5238"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$128.00/MWh.</w:t>
            </w:r>
            <w:r>
              <w:rPr>
                <w:sz w:val="22"/>
              </w:rPr>
              <w:fldChar w:fldCharType="end"/>
            </w:r>
          </w:p>
        </w:tc>
      </w:tr>
    </w:tbl>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jc w:val="both"/>
              <w:rPr>
                <w:sz w:val="22"/>
              </w:rPr>
            </w:pPr>
            <w:r>
              <w:rPr>
                <w:sz w:val="22"/>
              </w:rPr>
              <w:t>Floating Price:</w:t>
            </w:r>
          </w:p>
        </w:tc>
        <w:tc>
          <w:tcPr>
            <w:tcW w:w="5238" w:type="dxa"/>
            <w:tcBorders/>
          </w:tcPr>
          <w:p>
            <w:pPr>
              <w:pStyle w:val="Normal"/>
              <w:jc w:val="both"/>
              <w:rPr>
                <w:sz w:val="22"/>
              </w:rPr>
            </w:pPr>
            <w:r>
              <w:rPr>
                <w:sz w:val="22"/>
              </w:rPr>
              <w:t>The average of the daily settle prices listed in the Dow Jones Mid-Columbia Electricity Price Index entitled “DJ-Mid C Daily Index: Firm On-Peak: Index” as published by Dow Jones Telerate (Telerate page 38424) during On-Peak Hours during the applicable Determination Period.</w:t>
            </w:r>
          </w:p>
          <w:p>
            <w:pPr>
              <w:pStyle w:val="Normal"/>
              <w:jc w:val="both"/>
              <w:rPr>
                <w:sz w:val="22"/>
              </w:rPr>
            </w:pPr>
            <w:r>
              <w:rPr>
                <w:sz w:val="22"/>
              </w:rPr>
            </w:r>
          </w:p>
          <w:p>
            <w:pPr>
              <w:pStyle w:val="Normal"/>
              <w:jc w:val="both"/>
              <w:rPr>
                <w:sz w:val="22"/>
              </w:rPr>
            </w:pPr>
            <w:r>
              <w:rPr>
                <w:sz w:val="22"/>
              </w:rPr>
              <w:t>“</w:t>
            </w:r>
            <w:r>
              <w:rPr>
                <w:sz w:val="22"/>
              </w:rPr>
              <w:t>On-Peak Hours” means the hours commencing HE 0700 through HE 2200 Pacific Prevailing Time, Monday through Saturday (excluding Sundays and holidays of the North American Electric Reliability Council)</w:t>
            </w:r>
          </w:p>
        </w:tc>
      </w:tr>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sz w:val="22"/>
              </w:rPr>
            </w:pPr>
            <w:r>
              <w:rPr>
                <w:sz w:val="22"/>
              </w:rPr>
              <w:t>Cash Settlement Amount:</w:t>
            </w:r>
          </w:p>
        </w:tc>
        <w:tc>
          <w:tcPr>
            <w:tcW w:w="5238" w:type="dxa"/>
            <w:tcBorders/>
          </w:tcPr>
          <w:p>
            <w:pPr>
              <w:pStyle w:val="Normal"/>
              <w:jc w:val="both"/>
              <w:rPr>
                <w:sz w:val="22"/>
              </w:rPr>
            </w:pPr>
            <w:r>
              <w:rPr>
                <w:color w:val="000000"/>
                <w:sz w:val="22"/>
                <w:lang w:eastAsia="en-US"/>
              </w:rPr>
              <w:t>If for any Determination Period, the Floating Price is less than or equal to the Strike Price, an amount equal to the product of (i) the Notional Quantity per Determination Period multiplied by (ii) the excess of the Strike Price over the Floating Price, which amount shall be due and payable by the Seller on the applicable Payment Date for such Determination Period.</w:t>
            </w:r>
          </w:p>
        </w:tc>
      </w:tr>
    </w:tbl>
    <w:p>
      <w:pPr>
        <w:pStyle w:val="Normal"/>
        <w:jc w:val="both"/>
        <w:rPr>
          <w:b/>
          <w:sz w:val="22"/>
        </w:rPr>
      </w:pPr>
      <w:r>
        <w:rPr>
          <w:b/>
          <w:sz w:val="22"/>
        </w:rPr>
        <w:tab/>
        <w:tab/>
        <w:tab/>
        <w:tab/>
        <w:tab/>
        <w:tab/>
      </w:r>
    </w:p>
    <w:p>
      <w:pPr>
        <w:pStyle w:val="Normal"/>
        <w:rPr>
          <w:sz w:val="22"/>
        </w:rPr>
      </w:pPr>
      <w:r>
        <w:rPr>
          <w:b/>
          <w:sz w:val="22"/>
        </w:rPr>
        <w:t>Contractual Currency:</w:t>
      </w:r>
      <w:r>
        <w:rPr>
          <w:sz w:val="22"/>
        </w:rPr>
        <w:tab/>
        <w:tab/>
        <w:tab/>
      </w: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p>
      <w:pPr>
        <w:pStyle w:val="Normal"/>
        <w:rPr>
          <w:sz w:val="22"/>
        </w:rPr>
      </w:pPr>
      <w:r>
        <w:rPr>
          <w:sz w:val="22"/>
        </w:rPr>
      </w:r>
    </w:p>
    <w:p>
      <w:pPr>
        <w:pStyle w:val="Normal"/>
        <w:rPr>
          <w:sz w:val="22"/>
        </w:rPr>
      </w:pPr>
      <w:r>
        <w:rPr>
          <w:b/>
          <w:sz w:val="22"/>
        </w:rPr>
        <w:t>Governing Law:</w:t>
      </w:r>
      <w:r>
        <w:rPr>
          <w:sz w:val="22"/>
        </w:rPr>
        <w:tab/>
        <w:tab/>
        <w:tab/>
        <w:tab/>
      </w:r>
      <w:r>
        <w:rPr>
          <w:sz w:val="22"/>
        </w:rPr>
        <w:fldChar w:fldCharType="begin"/>
      </w:r>
      <w:r>
        <w:rPr>
          <w:sz w:val="22"/>
        </w:rPr>
        <w:instrText xml:space="preserve"> MERGEFIELD GoverningLaw </w:instrText>
      </w:r>
      <w:r>
        <w:rPr>
          <w:sz w:val="22"/>
        </w:rPr>
        <w:fldChar w:fldCharType="separate"/>
      </w:r>
      <w:r>
        <w:rPr>
          <w:sz w:val="22"/>
        </w:rPr>
        <w:t>New York</w:t>
      </w:r>
      <w:r>
        <w:rPr>
          <w:sz w:val="22"/>
        </w:rPr>
        <w:fldChar w:fldCharType="end"/>
      </w:r>
    </w:p>
    <w:p>
      <w:pPr>
        <w:pStyle w:val="Normal"/>
        <w:rPr>
          <w:sz w:val="22"/>
        </w:rPr>
      </w:pPr>
      <w:r>
        <w:rPr>
          <w:sz w:val="22"/>
        </w:rPr>
      </w:r>
    </w:p>
    <w:p>
      <w:pPr>
        <w:pStyle w:val="Normal"/>
        <w:rPr/>
      </w:pPr>
      <w:r>
        <w:rPr>
          <w:b/>
          <w:sz w:val="22"/>
        </w:rPr>
        <w:t>General Terms &amp; Conditions</w:t>
      </w:r>
      <w:r>
        <w:rPr>
          <w:sz w:val="22"/>
        </w:rPr>
        <w:tab/>
        <w:tab/>
        <w:tab/>
      </w:r>
    </w:p>
    <w:p>
      <w:pPr>
        <w:pStyle w:val="Normal"/>
        <w:ind w:hanging="4320" w:start="4320" w:end="0"/>
        <w:rPr/>
      </w:pPr>
      <w:r>
        <w:rPr>
          <w:b/>
          <w:sz w:val="22"/>
        </w:rPr>
        <w:t>of Confirmations:</w:t>
      </w:r>
      <w:r>
        <w:rPr>
          <w:sz w:val="22"/>
        </w:rPr>
        <w:tab/>
        <w:t>The general terms and conditions contained in the Agreement are incorporated herein by reference.</w:t>
      </w:r>
    </w:p>
    <w:p>
      <w:pPr>
        <w:pStyle w:val="Normal"/>
        <w:rPr>
          <w:sz w:val="22"/>
        </w:rPr>
      </w:pPr>
      <w:r>
        <w:rPr>
          <w:sz w:val="22"/>
        </w:rPr>
      </w:r>
    </w:p>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jc w:val="both"/>
        <w:rPr>
          <w:sz w:val="22"/>
        </w:rPr>
      </w:pPr>
      <w:r>
        <w:rPr>
          <w:sz w:val="22"/>
        </w:rPr>
      </w:r>
    </w:p>
    <w:p>
      <w:pPr>
        <w:pStyle w:val="Normal"/>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rPr>
          <w:sz w:val="22"/>
        </w:rPr>
      </w:pPr>
      <w:r>
        <w:rPr>
          <w:sz w:val="22"/>
        </w:rPr>
      </w:r>
    </w:p>
    <w:p>
      <w:pPr>
        <w:pStyle w:val="Normal"/>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5238"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Puget Sound Energy, Inc.</w:t>
            </w:r>
            <w:r>
              <w:rPr>
                <w:sz w:val="22"/>
              </w:rPr>
              <w:fldChar w:fldCharType="end"/>
            </w:r>
          </w:p>
        </w:tc>
      </w:tr>
      <w:tr>
        <w:trPr/>
        <w:tc>
          <w:tcPr>
            <w:tcW w:w="4338" w:type="dxa"/>
            <w:tcBorders/>
          </w:tcPr>
          <w:p>
            <w:pPr>
              <w:pStyle w:val="Normal"/>
              <w:snapToGrid w:val="false"/>
              <w:rPr>
                <w:sz w:val="22"/>
              </w:rPr>
            </w:pPr>
            <w:r>
              <w:rPr>
                <w:sz w:val="22"/>
              </w:rPr>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Tim Belden</w:t>
            </w:r>
            <w:r>
              <w:rPr>
                <w:sz w:val="22"/>
              </w:rPr>
              <w:fldChar w:fldCharType="end"/>
            </w:r>
          </w:p>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p>
            <w:pPr>
              <w:pStyle w:val="Normal"/>
              <w:rPr>
                <w:sz w:val="22"/>
              </w:rPr>
            </w:pPr>
            <w:r>
              <w:rPr>
                <w:sz w:val="22"/>
              </w:rPr>
              <w:tab/>
              <w:tab/>
            </w:r>
          </w:p>
        </w:tc>
        <w:tc>
          <w:tcPr>
            <w:tcW w:w="5238"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By: _____________________________________</w:t>
            </w:r>
          </w:p>
          <w:p>
            <w:pPr>
              <w:pStyle w:val="Normal"/>
              <w:rPr>
                <w:sz w:val="22"/>
              </w:rPr>
            </w:pPr>
            <w:r>
              <w:rPr>
                <w:sz w:val="22"/>
              </w:rPr>
              <w:t>Name:___________________________________</w:t>
            </w:r>
          </w:p>
          <w:p>
            <w:pPr>
              <w:pStyle w:val="Normal"/>
              <w:rPr>
                <w:sz w:val="22"/>
              </w:rPr>
            </w:pPr>
            <w:r>
              <w:rPr>
                <w:sz w:val="22"/>
              </w:rPr>
              <w:t>Title:____________________________________</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both"/>
        <w:rPr>
          <w:sz w:val="22"/>
        </w:rPr>
      </w:pPr>
      <w:r>
        <w:rPr>
          <w:b/>
          <w:sz w:val="22"/>
        </w:rPr>
        <w:t xml:space="preserve">COUNTERPARTY: AFTER YOU HAVE CONFIRMED TRANSACTION, PLEASE RETURN TO </w:t>
      </w:r>
      <w:r>
        <w:rPr>
          <w:b/>
          <w:sz w:val="22"/>
        </w:rPr>
        <w:fldChar w:fldCharType="begin"/>
      </w:r>
      <w:r>
        <w:rPr>
          <w:sz w:val="22"/>
          <w:b/>
        </w:rPr>
        <w:instrText xml:space="preserve"> MERGEFIELD EnronEntityCode </w:instrText>
      </w:r>
      <w:r>
        <w:rPr>
          <w:sz w:val="22"/>
          <w:b/>
        </w:rPr>
        <w:fldChar w:fldCharType="separate"/>
      </w:r>
      <w:r>
        <w:rPr>
          <w:sz w:val="22"/>
          <w:b/>
        </w:rPr>
        <w:t>ENA</w:t>
      </w:r>
      <w:r>
        <w:rPr>
          <w:sz w:val="22"/>
          <w:b/>
        </w:rPr>
        <w:fldChar w:fldCharType="end"/>
      </w:r>
      <w:r>
        <w:rPr>
          <w:b/>
          <w:sz w:val="22"/>
        </w:rPr>
        <w:t xml:space="preserve">,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w:t>
      </w:r>
      <w:r>
        <w:rPr>
          <w:sz w:val="22"/>
          <w:b/>
        </w:rPr>
        <w:fldChar w:fldCharType="end"/>
      </w:r>
      <w:r>
        <w:rPr>
          <w:b/>
          <w:sz w:val="22"/>
        </w:rPr>
        <w:t>2491</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rPr>
                <w:sz w:val="22"/>
              </w:rPr>
            </w:pPr>
            <w:r>
              <w:rPr>
                <w:b/>
                <w:sz w:val="22"/>
              </w:rPr>
              <w:t>Address for Notices to ENA</w:t>
            </w:r>
          </w:p>
        </w:tc>
        <w:tc>
          <w:tcPr>
            <w:tcW w:w="4968" w:type="dxa"/>
            <w:tcBorders/>
          </w:tcPr>
          <w:p>
            <w:pPr>
              <w:pStyle w:val="Normal"/>
              <w:rPr>
                <w:sz w:val="22"/>
              </w:rPr>
            </w:pPr>
            <w:r>
              <w:rPr>
                <w:b/>
                <w:sz w:val="22"/>
              </w:rPr>
              <w:t>Payment Account Information for ENA</w:t>
            </w:r>
          </w:p>
        </w:tc>
      </w:tr>
      <w:tr>
        <w:trPr/>
        <w:tc>
          <w:tcPr>
            <w:tcW w:w="4608" w:type="dxa"/>
            <w:tcBorders/>
          </w:tcPr>
          <w:p>
            <w:pPr>
              <w:pStyle w:val="Normal"/>
              <w:snapToGrid w:val="false"/>
              <w:rPr>
                <w:sz w:val="22"/>
              </w:rPr>
            </w:pPr>
            <w:r>
              <w:rPr>
                <w:sz w:val="22"/>
              </w:rPr>
            </w:r>
          </w:p>
        </w:tc>
        <w:tc>
          <w:tcPr>
            <w:tcW w:w="4968" w:type="dxa"/>
            <w:tcBorders/>
          </w:tcPr>
          <w:p>
            <w:pPr>
              <w:pStyle w:val="Normal"/>
              <w:snapToGrid w:val="false"/>
              <w:rPr>
                <w:sz w:val="22"/>
              </w:rPr>
            </w:pPr>
            <w:r>
              <w:rPr>
                <w:sz w:val="22"/>
              </w:rPr>
            </w:r>
          </w:p>
        </w:tc>
      </w:tr>
      <w:tr>
        <w:trPr/>
        <w:tc>
          <w:tcPr>
            <w:tcW w:w="46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46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68" w:type="dxa"/>
            <w:tcBorders/>
          </w:tcPr>
          <w:p>
            <w:pPr>
              <w:pStyle w:val="Normal"/>
              <w:rPr>
                <w:sz w:val="22"/>
              </w:rPr>
            </w:pPr>
            <w:r>
              <w:rPr>
                <w:sz w:val="22"/>
              </w:rPr>
              <w:t>Acct. No. 3750469312</w:t>
            </w:r>
          </w:p>
        </w:tc>
      </w:tr>
      <w:tr>
        <w:trPr/>
        <w:tc>
          <w:tcPr>
            <w:tcW w:w="4608" w:type="dxa"/>
            <w:tcBorders/>
          </w:tcPr>
          <w:p>
            <w:pPr>
              <w:pStyle w:val="Normal"/>
              <w:rPr>
                <w:sz w:val="22"/>
              </w:rPr>
            </w:pPr>
            <w:r>
              <w:rPr>
                <w:sz w:val="22"/>
              </w:rPr>
              <w:t>Attention: Manager, Documentation Department</w:t>
            </w:r>
          </w:p>
        </w:tc>
        <w:tc>
          <w:tcPr>
            <w:tcW w:w="4968" w:type="dxa"/>
            <w:tcBorders/>
          </w:tcPr>
          <w:p>
            <w:pPr>
              <w:pStyle w:val="Normal"/>
              <w:rPr>
                <w:sz w:val="22"/>
              </w:rPr>
            </w:pPr>
            <w:r>
              <w:rPr>
                <w:sz w:val="22"/>
              </w:rPr>
              <w:t>ABA Routing No. Bank of America-Global Finance,</w:t>
            </w:r>
          </w:p>
        </w:tc>
      </w:tr>
      <w:tr>
        <w:trPr/>
        <w:tc>
          <w:tcPr>
            <w:tcW w:w="4608" w:type="dxa"/>
            <w:tcBorders/>
          </w:tcPr>
          <w:p>
            <w:pPr>
              <w:pStyle w:val="Normal"/>
              <w:rPr>
                <w:sz w:val="22"/>
              </w:rPr>
            </w:pPr>
            <w:r>
              <w:rPr>
                <w:sz w:val="22"/>
              </w:rPr>
              <w:t>Fax: (713) 646-2443</w:t>
            </w:r>
          </w:p>
        </w:tc>
        <w:tc>
          <w:tcPr>
            <w:tcW w:w="4968" w:type="dxa"/>
            <w:tcBorders/>
          </w:tcPr>
          <w:p>
            <w:pPr>
              <w:pStyle w:val="Normal"/>
              <w:rPr>
                <w:sz w:val="22"/>
              </w:rPr>
            </w:pPr>
            <w:r>
              <w:rPr>
                <w:sz w:val="22"/>
              </w:rPr>
              <w:t>Dallas, TX</w:t>
            </w:r>
          </w:p>
        </w:tc>
      </w:tr>
      <w:tr>
        <w:trPr/>
        <w:tc>
          <w:tcPr>
            <w:tcW w:w="4608" w:type="dxa"/>
            <w:tcBorders/>
          </w:tcPr>
          <w:p>
            <w:pPr>
              <w:pStyle w:val="Normal"/>
              <w:rPr>
                <w:sz w:val="22"/>
              </w:rPr>
            </w:pPr>
            <w:r>
              <w:rPr>
                <w:sz w:val="22"/>
              </w:rPr>
              <w:t>Phone: (713) 853-1771</w:t>
            </w:r>
          </w:p>
        </w:tc>
        <w:tc>
          <w:tcPr>
            <w:tcW w:w="4968"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ind w:end="-270"/>
        <w:rPr>
          <w:sz w:val="22"/>
        </w:rPr>
      </w:pPr>
      <w:r>
        <w:rPr>
          <w:b/>
          <w:sz w:val="22"/>
          <w:u w:val="single"/>
        </w:rPr>
        <w:t>Address for Notices to Counterparty:</w:t>
      </w:r>
      <w:r>
        <w:rPr>
          <w:sz w:val="22"/>
        </w:rPr>
        <w:tab/>
        <w:tab/>
        <w:tab/>
      </w:r>
      <w:r>
        <w:rPr>
          <w:b/>
          <w:sz w:val="22"/>
          <w:u w:val="single"/>
        </w:rPr>
        <w:t>Payment Account Information for Counterparty:</w:t>
      </w:r>
    </w:p>
    <w:p>
      <w:pPr>
        <w:pStyle w:val="Normal"/>
        <w:rPr>
          <w:sz w:val="22"/>
        </w:rPr>
      </w:pPr>
      <w:r>
        <w:rPr>
          <w:sz w:val="22"/>
        </w:rPr>
      </w:r>
    </w:p>
    <w:p>
      <w:pPr>
        <w:pStyle w:val="Normal"/>
        <w:rPr>
          <w:sz w:val="22"/>
        </w:rPr>
      </w:pPr>
      <w:r>
        <w:rPr>
          <w:sz w:val="22"/>
        </w:rPr>
        <w:t>Address: ____________________________</w:t>
        <w:tab/>
        <w:tab/>
        <w:t>Payment Account Information:</w:t>
      </w:r>
    </w:p>
    <w:p>
      <w:pPr>
        <w:pStyle w:val="Normal"/>
        <w:ind w:end="-360"/>
        <w:rPr>
          <w:sz w:val="22"/>
        </w:rPr>
      </w:pPr>
      <w:r>
        <w:rPr>
          <w:sz w:val="22"/>
        </w:rPr>
        <w:t>____________________________________</w:t>
        <w:tab/>
        <w:tab/>
        <w:t>_________________________________________</w:t>
      </w:r>
    </w:p>
    <w:p>
      <w:pPr>
        <w:pStyle w:val="Normal"/>
        <w:ind w:end="-360"/>
        <w:rPr>
          <w:sz w:val="22"/>
        </w:rPr>
      </w:pPr>
      <w:r>
        <w:rPr>
          <w:sz w:val="22"/>
        </w:rPr>
        <w:t>____________________________________</w:t>
        <w:tab/>
        <w:tab/>
        <w:t>_________________________________________</w:t>
      </w:r>
    </w:p>
    <w:p>
      <w:pPr>
        <w:pStyle w:val="Normal"/>
        <w:ind w:end="-360"/>
        <w:rPr>
          <w:sz w:val="22"/>
        </w:rPr>
      </w:pPr>
      <w:r>
        <w:rPr>
          <w:sz w:val="22"/>
        </w:rPr>
        <w:t>Attention: ___________________________</w:t>
        <w:tab/>
        <w:tab/>
        <w:t>_________________________________________</w:t>
      </w:r>
    </w:p>
    <w:p>
      <w:pPr>
        <w:pStyle w:val="Normal"/>
        <w:ind w:end="-360"/>
        <w:rPr>
          <w:sz w:val="22"/>
        </w:rPr>
      </w:pPr>
      <w:r>
        <w:rPr>
          <w:sz w:val="22"/>
        </w:rPr>
        <w:t>Fax: ________________________________</w:t>
        <w:tab/>
        <w:tab/>
        <w:t>_________________________________________</w:t>
      </w:r>
    </w:p>
    <w:p>
      <w:pPr>
        <w:pStyle w:val="Normal"/>
        <w:ind w:end="-360"/>
        <w:rPr>
          <w:sz w:val="22"/>
        </w:rPr>
      </w:pPr>
      <w:r>
        <w:rPr>
          <w:sz w:val="22"/>
        </w:rPr>
        <w:t>Phone: ______________________________</w:t>
        <w:tab/>
        <w:tab/>
        <w:t>_________________________________________</w:t>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footerReference w:type="default" r:id="rId3"/>
      <w:type w:val="nextPage"/>
      <w:pgSz w:w="12240" w:h="15840"/>
      <w:pgMar w:left="1440"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2000-08-22T16:06:00Z</dcterms:created>
  <dc:creator>ECT</dc:creator>
  <dc:description/>
  <dc:language>en-CA</dc:language>
  <cp:lastModifiedBy>Melissa Murphy</cp:lastModifiedBy>
  <dcterms:modified xsi:type="dcterms:W3CDTF">2000-08-22T16:06:00Z</dcterms:modified>
  <cp:revision>2</cp:revision>
  <dc:subject/>
  <dc:title>389124.1</dc:title>
</cp:coreProperties>
</file>