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mc:AlternateContent>
          <mc:Choice Requires="wps">
            <w:drawing>
              <wp:anchor behindDoc="0" distT="0" distB="0" distL="114935" distR="114935" simplePos="0" locked="0" layoutInCell="1" allowOverlap="1" relativeHeight="3">
                <wp:simplePos x="0" y="0"/>
                <wp:positionH relativeFrom="column">
                  <wp:posOffset>2118360</wp:posOffset>
                </wp:positionH>
                <wp:positionV relativeFrom="paragraph">
                  <wp:posOffset>175260</wp:posOffset>
                </wp:positionV>
                <wp:extent cx="3413760" cy="8255"/>
                <wp:effectExtent l="14605" t="15240" r="15240" b="14605"/>
                <wp:wrapNone/>
                <wp:docPr id="1" name=""/>
                <a:graphic xmlns:a="http://schemas.openxmlformats.org/drawingml/2006/main">
                  <a:graphicData uri="http://schemas.microsoft.com/office/word/2010/wordprocessingShape">
                    <wps:wsp>
                      <wps:cNvSpPr/>
                      <wps:spPr>
                        <a:xfrm>
                          <a:off x="0" y="0"/>
                          <a:ext cx="3413880" cy="8280"/>
                        </a:xfrm>
                        <a:custGeom>
                          <a:avLst/>
                          <a:gdLst/>
                          <a:ahLst/>
                          <a:rect l="l" t="t" r="r" b="b"/>
                          <a:pathLst>
                            <a:path w="5376" h="13">
                              <a:moveTo>
                                <a:pt x="0" y="12"/>
                              </a:moveTo>
                              <a:lnTo>
                                <a:pt x="108" y="0"/>
                              </a:lnTo>
                              <a:lnTo>
                                <a:pt x="5376" y="13"/>
                              </a:lnTo>
                            </a:path>
                          </a:pathLst>
                        </a:custGeom>
                        <a:noFill/>
                        <a:ln w="28440">
                          <a:solidFill>
                            <a:srgbClr val="0000ff"/>
                          </a:solidFill>
                          <a:round/>
                        </a:ln>
                      </wps:spPr>
                      <wps:style>
                        <a:lnRef idx="0"/>
                        <a:fillRef idx="0"/>
                        <a:effectRef idx="0"/>
                        <a:fontRef idx="minor"/>
                      </wps:style>
                      <wps:bodyPr/>
                    </wps:wsp>
                  </a:graphicData>
                </a:graphic>
              </wp:anchor>
            </w:drawing>
          </mc:Choice>
          <mc:Fallback>
            <w:pict>
              <v:shape id="shape_0" coordsize="5376,13" path="m0,12l108,0l5376,13e" stroked="t" o:allowincell="f" style="position:absolute;margin-left:166.8pt;margin-top:13.8pt;width:268.75pt;height:0.6pt;mso-wrap-style:none;v-text-anchor:middle">
                <v:fill o:detectmouseclick="t" on="false"/>
                <v:stroke color="blue" weight="28440" joinstyle="round" endcap="flat"/>
                <w10:wrap type="none"/>
              </v:shape>
            </w:pict>
          </mc:Fallback>
        </mc:AlternateContent>
      </w:r>
      <w:r>
        <w:rPr>
          <w:b/>
          <w:color w:val="0000FF"/>
          <w:sz w:val="36"/>
        </w:rPr>
        <w:t>SG Resources, L.L.C.</w:t>
        <w:tab/>
      </w:r>
    </w:p>
    <w:p>
      <w:pPr>
        <w:pStyle w:val="Normal"/>
        <w:rPr>
          <w:sz w:val="24"/>
        </w:rPr>
      </w:pPr>
      <w:r>
        <w:rPr>
          <w:sz w:val="24"/>
        </w:rPr>
      </w:r>
    </w:p>
    <w:p>
      <w:pPr>
        <w:pStyle w:val="Normal"/>
        <w:jc w:val="center"/>
        <w:rPr>
          <w:b/>
          <w:bCs/>
          <w:sz w:val="22"/>
        </w:rPr>
      </w:pPr>
      <w:r>
        <w:rPr>
          <w:b/>
          <w:bCs/>
          <w:sz w:val="22"/>
        </w:rPr>
      </w:r>
    </w:p>
    <w:p>
      <w:pPr>
        <w:pStyle w:val="Normal"/>
        <w:jc w:val="center"/>
        <w:rPr>
          <w:b/>
          <w:bCs/>
          <w:sz w:val="22"/>
        </w:rPr>
      </w:pPr>
      <w:r>
        <w:rPr>
          <w:b/>
          <w:bCs/>
          <w:sz w:val="22"/>
        </w:rPr>
      </w:r>
    </w:p>
    <w:p>
      <w:pPr>
        <w:pStyle w:val="Normal"/>
        <w:rPr/>
      </w:pPr>
      <w:r>
        <w:rPr>
          <w:b/>
          <w:bCs/>
          <w:sz w:val="22"/>
        </w:rPr>
        <w:tab/>
        <w:tab/>
        <w:tab/>
        <w:tab/>
        <w:tab/>
        <w:t xml:space="preserve">           </w:t>
      </w:r>
      <w:r>
        <w:rPr>
          <w:sz w:val="24"/>
        </w:rPr>
        <w:t>Contact:    Anthony J. Clark</w:t>
      </w:r>
    </w:p>
    <w:p>
      <w:pPr>
        <w:pStyle w:val="Normal"/>
        <w:rPr>
          <w:sz w:val="24"/>
        </w:rPr>
      </w:pPr>
      <w:r>
        <w:rPr>
          <w:sz w:val="24"/>
        </w:rPr>
        <w:tab/>
        <w:tab/>
        <w:tab/>
        <w:tab/>
        <w:tab/>
        <w:tab/>
        <w:tab/>
        <w:t xml:space="preserve">    Executive Vice President &amp; CFO</w:t>
      </w:r>
    </w:p>
    <w:p>
      <w:pPr>
        <w:pStyle w:val="Normal"/>
        <w:rPr>
          <w:sz w:val="24"/>
        </w:rPr>
      </w:pPr>
      <w:r>
        <w:rPr>
          <w:sz w:val="24"/>
        </w:rPr>
        <w:tab/>
        <w:tab/>
        <w:tab/>
        <w:tab/>
        <w:tab/>
        <w:tab/>
        <w:tab/>
        <w:t xml:space="preserve">    (713) 914-8188</w:t>
      </w:r>
    </w:p>
    <w:p>
      <w:pPr>
        <w:pStyle w:val="Normal"/>
        <w:jc w:val="center"/>
        <w:rPr>
          <w:b/>
          <w:bCs/>
          <w:sz w:val="22"/>
        </w:rPr>
      </w:pPr>
      <w:r>
        <w:rPr>
          <w:b/>
          <w:bCs/>
          <w:sz w:val="22"/>
        </w:rPr>
      </w:r>
    </w:p>
    <w:p>
      <w:pPr>
        <w:pStyle w:val="Normal"/>
        <w:jc w:val="center"/>
        <w:rPr>
          <w:b/>
          <w:bCs/>
          <w:sz w:val="22"/>
        </w:rPr>
      </w:pPr>
      <w:r>
        <w:rPr>
          <w:b/>
          <w:bCs/>
          <w:sz w:val="22"/>
        </w:rPr>
      </w:r>
    </w:p>
    <w:p>
      <w:pPr>
        <w:pStyle w:val="Heading1"/>
        <w:ind w:hanging="0" w:start="0"/>
        <w:rPr>
          <w:i/>
          <w:i/>
          <w:iCs/>
          <w:sz w:val="22"/>
        </w:rPr>
      </w:pPr>
      <w:r>
        <w:rPr>
          <w:i/>
          <w:iCs/>
          <w:sz w:val="22"/>
        </w:rPr>
        <w:t>For immediate release</w:t>
      </w:r>
    </w:p>
    <w:p>
      <w:pPr>
        <w:pStyle w:val="Normal"/>
        <w:jc w:val="center"/>
        <w:rPr>
          <w:b/>
          <w:bCs/>
          <w:i/>
          <w:i/>
          <w:iCs/>
          <w:sz w:val="22"/>
        </w:rPr>
      </w:pPr>
      <w:r>
        <w:rPr>
          <w:b/>
          <w:bCs/>
          <w:i/>
          <w:iCs/>
          <w:sz w:val="22"/>
        </w:rPr>
      </w:r>
    </w:p>
    <w:p>
      <w:pPr>
        <w:pStyle w:val="Normal"/>
        <w:rPr>
          <w:b/>
          <w:bCs/>
          <w:sz w:val="28"/>
        </w:rPr>
      </w:pPr>
      <w:r>
        <w:rPr>
          <w:b/>
          <w:bCs/>
          <w:sz w:val="28"/>
        </w:rPr>
        <w:t>SG RESOURCES SELLS STORAGE PROJECT TO AQUILA, INC.</w:t>
      </w:r>
    </w:p>
    <w:p>
      <w:pPr>
        <w:pStyle w:val="Normal"/>
        <w:rPr/>
      </w:pPr>
      <w:r>
        <w:rPr/>
        <w:tab/>
        <w:tab/>
        <w:tab/>
        <w:tab/>
      </w:r>
    </w:p>
    <w:p>
      <w:pPr>
        <w:pStyle w:val="Normal"/>
        <w:spacing w:lineRule="auto" w:line="360"/>
        <w:rPr/>
      </w:pPr>
      <w:r>
        <w:rPr/>
        <w:tab/>
      </w:r>
      <w:r>
        <w:rPr>
          <w:sz w:val="24"/>
        </w:rPr>
        <w:t>Houston, Texas (March 12, 2001) – SG Resources of Houston, Inc., today announced that it has signed an agreement to sell its Houston Energy Center, a green-field, natural gas salt cavern storage project, to Aquila, Inc., a wholly owned subsidiary of UtiliCorp United.  The sale price was not disclosed.</w:t>
      </w:r>
    </w:p>
    <w:p>
      <w:pPr>
        <w:pStyle w:val="Normal"/>
        <w:spacing w:lineRule="auto" w:line="360"/>
        <w:rPr>
          <w:sz w:val="24"/>
        </w:rPr>
      </w:pPr>
      <w:r>
        <w:rPr>
          <w:sz w:val="24"/>
        </w:rPr>
        <w:tab/>
        <w:t>It is estimated that the storage facility will become operational in 2002, and by 2004, the facility will be built out to 12 billion cubic feet (Bcf) of leasable capacity.  It will have direct interconnections to four interstate and three intrastate pipelines.  The facility is designed so that 100 percent of its inventory can be delivered in 10 days.</w:t>
      </w:r>
    </w:p>
    <w:p>
      <w:pPr>
        <w:pStyle w:val="Normal"/>
        <w:spacing w:lineRule="auto" w:line="360"/>
        <w:rPr>
          <w:sz w:val="24"/>
        </w:rPr>
      </w:pPr>
      <w:r>
        <w:rPr>
          <w:sz w:val="24"/>
        </w:rPr>
        <w:tab/>
        <w:t>The facility will be in Liberty County, Texas, approximately 30 miles northeast of Houston.  It is ideally located to support the anticipated growth in the generation and transmission system in both Texas and other Southwestern states.</w:t>
      </w:r>
    </w:p>
    <w:p>
      <w:pPr>
        <w:pStyle w:val="Normal"/>
        <w:spacing w:lineRule="auto" w:line="360"/>
        <w:rPr>
          <w:sz w:val="24"/>
        </w:rPr>
      </w:pPr>
      <w:r>
        <w:rPr>
          <w:sz w:val="24"/>
        </w:rPr>
        <w:tab/>
        <w:t>SG Resources also sold to Aquila 168 acres, which it estimates will accommodate as many as five 8 Bcf of working gas capacity caverns and has sufficient acreage to accommodate new power generation facilities.</w:t>
      </w:r>
    </w:p>
    <w:p>
      <w:pPr>
        <w:pStyle w:val="Normal"/>
        <w:rPr/>
      </w:pPr>
      <w:r>
        <w:rPr>
          <w:sz w:val="24"/>
        </w:rPr>
        <w:tab/>
      </w:r>
      <w:r>
        <w:rPr>
          <w:i/>
          <w:iCs/>
          <w:sz w:val="24"/>
        </w:rPr>
        <w:t>Based in Kansas City, Missouri, Aquila is a provider of risk management services and a leading wholesaler of electricity and natural gas in North America.  The company also provides wholesale services in the U.K. and has a presence in Scandinavia, Germany and Spain.  Aquila is a wholly-owned subsidiary of UtiliCorp United, an international energy company with about 4 million customers across the U.S. and in Canada, Great Britain, New Zealand and Australia.  For the year 2000, UtiliCorp had $14 billion in assets and sales of $29 billion.</w:t>
      </w:r>
    </w:p>
    <w:p>
      <w:pPr>
        <w:pStyle w:val="Normal"/>
        <w:rPr/>
      </w:pPr>
      <w:r>
        <w:rPr>
          <w:i/>
          <w:iCs/>
          <w:sz w:val="24"/>
        </w:rPr>
        <w:tab/>
        <w:t>SG Resources, L.L.C. is an independent developer of high-deliverability natural gas storage facilities.  Based in Houston, SGR is currently developing three other salt cavern storage facilities.</w:t>
      </w:r>
      <w:r>
        <w:rPr>
          <w:i/>
          <w:iCs/>
          <w:sz w:val="22"/>
        </w:rPr>
        <w:t xml:space="preserve">  </w:t>
      </w:r>
    </w:p>
    <w:p>
      <w:pPr>
        <w:pStyle w:val="Normal"/>
        <w:spacing w:lineRule="auto" w:line="360"/>
        <w:rPr>
          <w:sz w:val="22"/>
        </w:rPr>
      </w:pPr>
      <w:r>
        <w:rPr>
          <w:sz w:val="22"/>
        </w:rPr>
        <w:tab/>
        <w:tab/>
        <w:tab/>
        <w:tab/>
        <w:tab/>
        <w:tab/>
        <w:t>####</w:t>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color w:val="0000FF"/>
        <w:sz w:val="24"/>
      </w:rPr>
    </w:pPr>
    <w:r>
      <mc:AlternateContent>
        <mc:Choice Requires="wps">
          <w:drawing>
            <wp:anchor behindDoc="1" distT="0" distB="0" distL="114935" distR="114935" simplePos="0" locked="0" layoutInCell="1" allowOverlap="1" relativeHeight="2">
              <wp:simplePos x="0" y="0"/>
              <wp:positionH relativeFrom="column">
                <wp:posOffset>-45720</wp:posOffset>
              </wp:positionH>
              <wp:positionV relativeFrom="paragraph">
                <wp:posOffset>17780</wp:posOffset>
              </wp:positionV>
              <wp:extent cx="5577840" cy="0"/>
              <wp:effectExtent l="0" t="14605" r="0" b="14605"/>
              <wp:wrapNone/>
              <wp:docPr id="2"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1.4pt" to="435.55pt,1.4pt" stroked="t" o:allowincell="f" style="position:absolute">
              <v:stroke color="blue" weight="28440" joinstyle="miter" endcap="flat"/>
              <v:fill o:detectmouseclick="t" on="false"/>
              <w10:wrap type="none"/>
            </v:line>
          </w:pict>
        </mc:Fallback>
      </mc:AlternateContent>
    </w:r>
    <w:r>
      <w:rPr>
        <w:b/>
        <w:color w:val="0000FF"/>
      </w:rPr>
      <w:t>7500 San Felipe, Suite 600 - Houston, Texas 77063</w:t>
      <w:tab/>
      <w:tab/>
      <w:t>Phone: (713) 914-8188 Fax (713) 914-8189</w:t>
    </w:r>
  </w:p>
  <w:p>
    <w:pPr>
      <w:pStyle w:val="Footer"/>
      <w:rPr>
        <w:color w:val="0000FF"/>
        <w:sz w:val="24"/>
      </w:rPr>
    </w:pPr>
    <w:r>
      <w:rPr>
        <w:color w:val="0000FF"/>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2001-03-19T12:38:00Z</dcterms:created>
  <dc:creator>Nancy Clark</dc:creator>
  <dc:description/>
  <dc:language>en-CA</dc:language>
  <cp:lastModifiedBy>Preferred Customer</cp:lastModifiedBy>
  <cp:lastPrinted>2001-03-19T09:07:00Z</cp:lastPrinted>
  <dcterms:modified xsi:type="dcterms:W3CDTF">2001-03-19T12:38:00Z</dcterms:modified>
  <cp:revision>2</cp:revision>
  <dc:subject/>
  <dc:title>SGR letterhead</dc:title>
</cp:coreProperties>
</file>