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i/>
        </w:rPr>
        <w:t>Certain Proprietary Rights.</w:t>
      </w:r>
      <w:r>
        <w:rPr/>
        <w:t xml:space="preserve">  Except for the Conoco, Inc. Pioneer Pipeline Company project and the Petro Source CO2 project which are either pending or under development by Seller, the proprietary rights to gas gathering transactions under development by Seller in the Specified Geographical Area will be assigned to Buyer.  All proprietary rights and information concerning any transactions outside of the Specified Geographical Area which are under development by the Seller or the Transferred Employees, shall remain with the Seller.</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2000-08-14T20:17:00Z</dcterms:created>
  <dc:creator>gnemec</dc:creator>
  <dc:description/>
  <dc:language>en-CA</dc:language>
  <cp:lastModifiedBy>sdaniel</cp:lastModifiedBy>
  <dcterms:modified xsi:type="dcterms:W3CDTF">2000-08-14T20:17:00Z</dcterms:modified>
  <cp:revision>2</cp:revision>
  <dc:subject/>
  <dc:title>Certain Proprietary Rights</dc:title>
</cp:coreProperties>
</file>