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OCTOBER 5, 1999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PROPOSED BUDGET</w:t>
      </w:r>
    </w:p>
    <w:p>
      <w:pPr>
        <w:pStyle w:val="Normal"/>
        <w:jc w:val="center"/>
        <w:rPr/>
      </w:pPr>
      <w:r>
        <w:rPr/>
        <w:t>GREAT LAKES/UPPER MIDWEST REGION</w:t>
      </w:r>
    </w:p>
    <w:p>
      <w:pPr>
        <w:pStyle w:val="Normal"/>
        <w:jc w:val="center"/>
        <w:rPr/>
      </w:pPr>
      <w:r>
        <w:rPr/>
        <w:t>YEAR 2000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Fixed Costs – Maintenance/Retainers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530"/>
        <w:gridCol w:w="1800"/>
        <w:gridCol w:w="1890"/>
        <w:gridCol w:w="1547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State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Legal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Legislative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Membership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Total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48,000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90,000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168,000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72,000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172,000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96,000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51,000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197,000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24,000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37,000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81,000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24,000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45,000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74,000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42,000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15,000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57,000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Minneapolis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24,000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74,000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24,000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48,000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92,000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Virginia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12,000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40,000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10,000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62,000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12,000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12,000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54,000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Kentucky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02,500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Nebraska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Dakota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Dakota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Fixed Cost --$1,038,500.00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Operating Costs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CSG/NCLC Midwest plus other organizations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Minnesota office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Dublin office</w:t>
              <w:tab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Columbus office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8,400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Bismark office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Hinsdale office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22,800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Travel/employee expenses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380,0001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,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budget</w:t>
              <w:tab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518,400.00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Proposed Case Budgets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  <w:p>
            <w:pPr>
              <w:pStyle w:val="Normal"/>
              <w:rPr/>
            </w:pPr>
            <w:r>
              <w:rPr/>
              <w:t>Electric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Unbundling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Complaint Against Com. Ed. – Market Power Abuse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Complaint Against Illinois Power – Market Power Abuse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  <w:r>
              <w:rPr/>
              <w:t xml:space="preserve"> Neutral Fact Finder – Com Ed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  <w:r>
              <w:rPr/>
              <w:t xml:space="preserve"> Neutral Fact Finder – Illinois Power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30,000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Miscellaneous Matters/Gas Code of Conduct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265,000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  <w:t>Electric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700,000</w:t>
            </w:r>
          </w:p>
        </w:tc>
      </w:tr>
      <w:tr>
        <w:trPr>
          <w:trHeight w:val="2278" w:hRule="atLeast"/>
        </w:trPr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Rulemaking on Transition Plan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Stranded Costs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Unbundling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Shopping Credit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Market Development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Regional Transmission Entities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Operational Support</w:t>
            </w:r>
          </w:p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Corporate Separation and Code of Conduct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36" w:hRule="atLeast"/>
        </w:trPr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Transition Plan Proceeding:</w:t>
            </w:r>
          </w:p>
          <w:p>
            <w:pPr>
              <w:pStyle w:val="Normal"/>
              <w:rPr/>
            </w:pPr>
            <w:r>
              <w:rPr/>
              <w:t>First Energy</w:t>
            </w:r>
          </w:p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Ohio Edison</w:t>
            </w:r>
          </w:p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Cleveland Electric Illuminating Company</w:t>
            </w:r>
          </w:p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Toledo Edison</w:t>
            </w:r>
          </w:p>
          <w:p>
            <w:pPr>
              <w:pStyle w:val="Normal"/>
              <w:rPr/>
            </w:pPr>
            <w:r>
              <w:rPr/>
              <w:t>American Electric Power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Columbus Southern Power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Ohio Power</w:t>
            </w:r>
          </w:p>
          <w:p>
            <w:pPr>
              <w:pStyle w:val="Normal"/>
              <w:rPr/>
            </w:pPr>
            <w:r>
              <w:rPr/>
              <w:t>Cinergy</w:t>
            </w:r>
          </w:p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Dayton Power &amp; Light Company</w:t>
            </w:r>
          </w:p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Monongahela Power</w:t>
            </w:r>
          </w:p>
          <w:p>
            <w:pPr>
              <w:pStyle w:val="Normal"/>
              <w:rPr/>
            </w:pPr>
            <w:r>
              <w:rPr/>
              <w:t>Other Proceedings</w:t>
            </w:r>
          </w:p>
          <w:p>
            <w:pPr>
              <w:pStyle w:val="Normal"/>
              <w:rPr/>
            </w:pPr>
            <w:r>
              <w:rPr/>
              <w:t>Interruptible</w:t>
            </w:r>
          </w:p>
        </w:tc>
      </w:tr>
      <w:tr>
        <w:trPr>
          <w:trHeight w:val="2268" w:hRule="atLeast"/>
        </w:trPr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PUCO Investigation of Gas Industry (include gas cost recovery, treatment of assets, default service provider)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East Ohio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Columbia Gas of Ohio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Cinergy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Dayton Power &amp; Light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Gas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160,000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860,000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  <w:p>
            <w:pPr>
              <w:pStyle w:val="Normal"/>
              <w:rPr/>
            </w:pPr>
            <w:r>
              <w:rPr/>
              <w:t>Electric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Direct Access-Consumers’ Energy Detroit Edison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Code of Conduct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Other Direct Access Proceeding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Electric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Miscellaneous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105,000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Electric Deregulation (2</w:t>
            </w:r>
            <w:r>
              <w:rPr>
                <w:vertAlign w:val="superscript"/>
              </w:rPr>
              <w:t>nd</w:t>
            </w:r>
            <w:r>
              <w:rPr/>
              <w:t xml:space="preserve"> half 2000)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Gas-Unbundling for small customers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20,000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220,000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Electric &amp; Gas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Electric &amp; Gas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908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Electric &amp;  Gas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````````````````115,000</w:t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48"/>
        <w:gridCol w:w="1890"/>
      </w:tblGrid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  <w:t>Electric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Deregulation Proceedings 2</w:t>
            </w:r>
            <w:r>
              <w:rPr>
                <w:vertAlign w:val="superscript"/>
              </w:rPr>
              <w:t>nd</w:t>
            </w:r>
            <w:r>
              <w:rPr/>
              <w:t xml:space="preserve"> half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/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WEST VIRGINIA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Legal (Assumes dereg. Passes in spring, 2000)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100,000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100,000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>
          <w:trHeight w:val="848" w:hRule="atLeast"/>
        </w:trPr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WISCONSIN</w:t>
            </w:r>
          </w:p>
          <w:p>
            <w:pPr>
              <w:pStyle w:val="Normal"/>
              <w:rPr/>
            </w:pPr>
            <w:r>
              <w:rPr/>
              <w:t>Legal Support</w:t>
            </w:r>
          </w:p>
          <w:p>
            <w:pPr>
              <w:pStyle w:val="Normal"/>
              <w:rPr/>
            </w:pPr>
            <w:r>
              <w:rPr/>
              <w:t>Electric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Transmission support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25,000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Codes of Conduct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25,000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/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KENTUCKY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Miscellaneous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/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NEBRASKA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Miscellaneous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/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SOUTH DAKOTA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Miscellaneous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2178"/>
      </w:tblGrid>
      <w:tr>
        <w:trPr/>
        <w:tc>
          <w:tcPr>
            <w:tcW w:w="8856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NORTH DAKOTA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Miscellaneous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2,500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proposed gas budget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1,537,500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budget</w:t>
            </w:r>
          </w:p>
        </w:tc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3,094,400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Helvetica" w:hAnsi="Helvetica" w:eastAsia="Times New Roman" w:cs="Helvetic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1999-10-04T17:05:00Z</dcterms:created>
  <dc:creator>lknight</dc:creator>
  <dc:description/>
  <dc:language>en-CA</dc:language>
  <cp:lastModifiedBy>lknight</cp:lastModifiedBy>
  <cp:lastPrinted>1999-10-05T09:20:00Z</cp:lastPrinted>
  <dcterms:modified xsi:type="dcterms:W3CDTF">1999-10-12T11:17:00Z</dcterms:modified>
  <cp:revision>3</cp:revision>
  <dc:subject/>
  <dc:title>OCTOBER 5, 1999</dc:title>
</cp:coreProperties>
</file>