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rPr>
      </w:pPr>
      <w:r>
        <w:rPr>
          <w:b w:val="false"/>
        </w:rPr>
      </w:r>
    </w:p>
    <w:p>
      <w:pPr>
        <w:pStyle w:val="Heading1"/>
        <w:ind w:hanging="0" w:start="0"/>
        <w:rPr>
          <w:b w:val="false"/>
        </w:rPr>
      </w:pPr>
      <w:r>
        <w:rPr>
          <w:b w:val="false"/>
        </w:rPr>
      </w:r>
    </w:p>
    <w:p>
      <w:pPr>
        <w:pStyle w:val="Normal"/>
        <w:rPr>
          <w:b/>
        </w:rPr>
      </w:pPr>
      <w:r>
        <w:rPr>
          <w:b/>
        </w:rPr>
      </w:r>
    </w:p>
    <w:p>
      <w:pPr>
        <w:pStyle w:val="Normal"/>
        <w:rPr/>
      </w:pPr>
      <w:r>
        <w:rPr/>
      </w:r>
    </w:p>
    <w:p>
      <w:pPr>
        <w:pStyle w:val="Normal"/>
        <w:rPr/>
      </w:pPr>
      <w:r>
        <w:rPr/>
      </w:r>
    </w:p>
    <w:p>
      <w:pPr>
        <w:pStyle w:val="Heading1"/>
        <w:ind w:hanging="0" w:start="0"/>
        <w:rPr>
          <w:b w:val="false"/>
        </w:rPr>
      </w:pPr>
      <w:r>
        <w:rPr>
          <w:b w:val="false"/>
        </w:rPr>
      </w:r>
    </w:p>
    <w:p>
      <w:pPr>
        <w:pStyle w:val="Heading1"/>
        <w:ind w:hanging="0" w:start="0"/>
        <w:rPr>
          <w:b w:val="false"/>
        </w:rPr>
      </w:pPr>
      <w:r>
        <w:rPr>
          <w:b w:val="false"/>
        </w:rPr>
      </w:r>
    </w:p>
    <w:p>
      <w:pPr>
        <w:pStyle w:val="Heading1"/>
        <w:ind w:hanging="0" w:start="0"/>
        <w:rPr>
          <w:b w:val="false"/>
        </w:rPr>
      </w:pPr>
      <w:r>
        <w:rPr>
          <w:b w:val="false"/>
        </w:rPr>
        <w:t>September 5, 2000</w:t>
      </w:r>
    </w:p>
    <w:p>
      <w:pPr>
        <w:pStyle w:val="Normal"/>
        <w:rPr>
          <w:b/>
          <w:sz w:val="22"/>
        </w:rPr>
      </w:pPr>
      <w:r>
        <w:rPr>
          <w:b/>
          <w:sz w:val="22"/>
        </w:rPr>
      </w:r>
    </w:p>
    <w:p>
      <w:pPr>
        <w:pStyle w:val="Normal"/>
        <w:rPr>
          <w:sz w:val="22"/>
        </w:rPr>
      </w:pPr>
      <w:r>
        <w:rPr>
          <w:sz w:val="22"/>
        </w:rPr>
        <w:t>Ms. Sharon Firooz</w:t>
      </w:r>
    </w:p>
    <w:p>
      <w:pPr>
        <w:pStyle w:val="Normal"/>
        <w:rPr>
          <w:sz w:val="22"/>
        </w:rPr>
      </w:pPr>
      <w:r>
        <w:rPr>
          <w:sz w:val="22"/>
        </w:rPr>
        <w:t>San Diego Gas &amp; Electric Company</w:t>
      </w:r>
    </w:p>
    <w:p>
      <w:pPr>
        <w:pStyle w:val="Normal"/>
        <w:rPr>
          <w:sz w:val="22"/>
        </w:rPr>
      </w:pPr>
      <w:r>
        <w:rPr>
          <w:sz w:val="22"/>
        </w:rPr>
        <w:t>8306 Century Part Court, Suite 41 D</w:t>
      </w:r>
    </w:p>
    <w:p>
      <w:pPr>
        <w:pStyle w:val="Normal"/>
        <w:rPr>
          <w:sz w:val="22"/>
        </w:rPr>
      </w:pPr>
      <w:r>
        <w:rPr>
          <w:sz w:val="22"/>
        </w:rPr>
        <w:t>San Diego, CA 92123-1593</w:t>
      </w:r>
    </w:p>
    <w:p>
      <w:pPr>
        <w:pStyle w:val="Normal"/>
        <w:rPr>
          <w:sz w:val="22"/>
        </w:rPr>
      </w:pPr>
      <w:r>
        <w:rPr>
          <w:sz w:val="22"/>
        </w:rPr>
      </w:r>
    </w:p>
    <w:p>
      <w:pPr>
        <w:pStyle w:val="Normal"/>
        <w:rPr>
          <w:sz w:val="22"/>
        </w:rPr>
      </w:pPr>
      <w:r>
        <w:rPr>
          <w:sz w:val="22"/>
        </w:rPr>
      </w:r>
    </w:p>
    <w:p>
      <w:pPr>
        <w:pStyle w:val="Normal"/>
        <w:rPr>
          <w:sz w:val="22"/>
        </w:rPr>
      </w:pPr>
      <w:r>
        <w:rPr>
          <w:sz w:val="22"/>
        </w:rPr>
        <w:t>Dear Sharon:</w:t>
      </w:r>
    </w:p>
    <w:p>
      <w:pPr>
        <w:pStyle w:val="Normal"/>
        <w:rPr>
          <w:sz w:val="22"/>
        </w:rPr>
      </w:pPr>
      <w:r>
        <w:rPr>
          <w:sz w:val="22"/>
        </w:rPr>
      </w:r>
    </w:p>
    <w:p>
      <w:pPr>
        <w:pStyle w:val="Normal"/>
        <w:rPr>
          <w:sz w:val="22"/>
        </w:rPr>
      </w:pPr>
      <w:r>
        <w:rPr>
          <w:sz w:val="22"/>
        </w:rPr>
        <w:t xml:space="preserve">On behalf of Enron Power Marketing, Inc. (EPMI), I appreciate the opportunity to respond to the San Diego Gas &amp; Electric (SDG&amp;E) Request for Proposal (RFP) dated August 22, 2000.  Pursuant to the timetable set in your RFP, we must update prices as of 12:00 noon today.  The attached Term Sheet updates our prices. </w:t>
      </w:r>
    </w:p>
    <w:p>
      <w:pPr>
        <w:pStyle w:val="Normal"/>
        <w:rPr>
          <w:sz w:val="22"/>
        </w:rPr>
      </w:pPr>
      <w:r>
        <w:rPr>
          <w:sz w:val="22"/>
        </w:rPr>
      </w:r>
    </w:p>
    <w:p>
      <w:pPr>
        <w:pStyle w:val="BodyText2"/>
        <w:rPr/>
      </w:pPr>
      <w:r>
        <w:rPr/>
        <w:t>Several changes from the prices provided last week have been made.  To simplify your consideration of EPMI’s price, we are providing prices for the 3 and 5 year transactions and for the Oct. ’00 – Feb. ’01 period only.  With respect to quantity, these prices are for a total of 100 MW.  If SDG&amp;E wants additional quantities, each incremental 100 MW would be offered at the prices indicated plus $.50/MWhr.  We also are changing the delivery point to SP-15.  After additional consideration, EPMI has decided that it does not want to take the risk of congestion to the SDG&amp;E Local Reliability Area (SDLA).</w:t>
      </w:r>
    </w:p>
    <w:p>
      <w:pPr>
        <w:pStyle w:val="BodyText2"/>
        <w:rPr/>
      </w:pPr>
      <w:r>
        <w:rPr/>
      </w:r>
    </w:p>
    <w:p>
      <w:pPr>
        <w:pStyle w:val="Normal"/>
        <w:rPr>
          <w:sz w:val="22"/>
        </w:rPr>
      </w:pPr>
      <w:r>
        <w:rPr>
          <w:sz w:val="22"/>
        </w:rPr>
        <w:t xml:space="preserve">Based on information provided in your RFP, it is our understanding that SDG&amp;E has requested that sellers keep offers open from 12:00 noon on September 5 until 2:00 pm on September 9.  EPMI respectfully cannot keep its prices open this long.  The prices provided herein are indicative only and subject to change.  </w:t>
      </w:r>
    </w:p>
    <w:p>
      <w:pPr>
        <w:pStyle w:val="Normal"/>
        <w:rPr>
          <w:sz w:val="22"/>
        </w:rPr>
      </w:pPr>
      <w:r>
        <w:rPr>
          <w:sz w:val="22"/>
        </w:rPr>
      </w:r>
    </w:p>
    <w:p>
      <w:pPr>
        <w:pStyle w:val="Normal"/>
        <w:rPr>
          <w:sz w:val="22"/>
        </w:rPr>
      </w:pPr>
      <w:r>
        <w:rPr>
          <w:sz w:val="22"/>
        </w:rPr>
        <w:t>Please contact me at 503/464-3822 if you have any questions.</w:t>
      </w:r>
    </w:p>
    <w:p>
      <w:pPr>
        <w:pStyle w:val="Normal"/>
        <w:rPr>
          <w:sz w:val="22"/>
        </w:rPr>
      </w:pPr>
      <w:r>
        <w:rPr>
          <w:sz w:val="22"/>
        </w:rPr>
      </w:r>
    </w:p>
    <w:p>
      <w:pPr>
        <w:pStyle w:val="Normal"/>
        <w:rPr>
          <w:sz w:val="22"/>
        </w:rPr>
      </w:pPr>
      <w:r>
        <w:rPr>
          <w:sz w:val="22"/>
        </w:rPr>
        <w:t>Sincerely,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Chris Foster</w:t>
      </w:r>
    </w:p>
    <w:p>
      <w:pPr>
        <w:pStyle w:val="Normal"/>
        <w:rPr>
          <w:sz w:val="22"/>
        </w:rPr>
      </w:pPr>
      <w:r>
        <w:rPr>
          <w:sz w:val="22"/>
        </w:rPr>
      </w:r>
    </w:p>
    <w:p>
      <w:pPr>
        <w:pStyle w:val="Normal"/>
        <w:rPr>
          <w:sz w:val="22"/>
        </w:rPr>
      </w:pPr>
      <w:r>
        <w:rPr>
          <w:sz w:val="22"/>
        </w:rPr>
        <w:t xml:space="preserve">  </w:t>
      </w:r>
    </w:p>
    <w:p>
      <w:pPr>
        <w:pStyle w:val="Normal"/>
        <w:rPr>
          <w:sz w:val="22"/>
        </w:rPr>
      </w:pPr>
      <w:r>
        <w:rPr>
          <w:sz w:val="22"/>
        </w:rPr>
      </w:r>
      <w:r>
        <w:br w:type="page"/>
      </w:r>
    </w:p>
    <w:p>
      <w:pPr>
        <w:pStyle w:val="Heading3"/>
        <w:ind w:hanging="0" w:start="0"/>
        <w:rPr/>
      </w:pPr>
      <w:r>
        <w:rPr/>
        <w:t>TERM SHEET</w:t>
      </w:r>
    </w:p>
    <w:p>
      <w:pPr>
        <w:pStyle w:val="Normal"/>
        <w:rPr>
          <w:sz w:val="22"/>
        </w:rPr>
      </w:pPr>
      <w:r>
        <w:rPr>
          <w:sz w:val="22"/>
        </w:rPr>
      </w:r>
    </w:p>
    <w:p>
      <w:pPr>
        <w:pStyle w:val="Normal"/>
        <w:rPr/>
      </w:pPr>
      <w:r>
        <w:rPr>
          <w:b/>
          <w:sz w:val="22"/>
        </w:rPr>
        <w:t>Seller:</w:t>
        <w:tab/>
        <w:tab/>
      </w:r>
      <w:r>
        <w:rPr>
          <w:sz w:val="22"/>
        </w:rPr>
        <w:t>Enron Power Marketing, Inc. (EPMI)</w:t>
      </w:r>
    </w:p>
    <w:p>
      <w:pPr>
        <w:pStyle w:val="Normal"/>
        <w:rPr>
          <w:b/>
          <w:sz w:val="22"/>
        </w:rPr>
      </w:pPr>
      <w:r>
        <w:rPr>
          <w:b/>
          <w:sz w:val="22"/>
        </w:rPr>
      </w:r>
    </w:p>
    <w:p>
      <w:pPr>
        <w:pStyle w:val="Normal"/>
        <w:rPr/>
      </w:pPr>
      <w:r>
        <w:rPr>
          <w:b/>
          <w:sz w:val="22"/>
        </w:rPr>
        <w:t>Buyer:</w:t>
        <w:tab/>
        <w:tab/>
      </w:r>
      <w:r>
        <w:rPr>
          <w:sz w:val="22"/>
        </w:rPr>
        <w:t>San Diego Gas &amp; Electric Company (SDG&amp;E)</w:t>
      </w:r>
    </w:p>
    <w:p>
      <w:pPr>
        <w:pStyle w:val="Normal"/>
        <w:rPr>
          <w:b/>
          <w:sz w:val="22"/>
        </w:rPr>
      </w:pPr>
      <w:r>
        <w:rPr>
          <w:b/>
          <w:sz w:val="22"/>
        </w:rPr>
      </w:r>
    </w:p>
    <w:p>
      <w:pPr>
        <w:pStyle w:val="BodyTextIndent2"/>
        <w:ind w:hanging="1440" w:end="0"/>
        <w:rPr/>
      </w:pPr>
      <w:r>
        <w:rPr>
          <w:b/>
          <w:sz w:val="22"/>
        </w:rPr>
        <w:t>Del. Point:</w:t>
        <w:tab/>
      </w:r>
      <w:r>
        <w:rPr>
          <w:sz w:val="22"/>
        </w:rPr>
        <w:t>SP-15 as it currently exists.  Prices assume that SDG&amp;E pays any congestion from SP-15 to the SDG&amp;E Local Reliability Area (SDLRA).</w:t>
      </w:r>
    </w:p>
    <w:p>
      <w:pPr>
        <w:pStyle w:val="Normal"/>
        <w:ind w:start="1440" w:end="0"/>
        <w:rPr>
          <w:sz w:val="22"/>
        </w:rPr>
      </w:pPr>
      <w:r>
        <w:rPr>
          <w:sz w:val="22"/>
        </w:rPr>
      </w:r>
    </w:p>
    <w:p>
      <w:pPr>
        <w:pStyle w:val="Normal"/>
        <w:spacing w:lineRule="atLeast" w:line="240"/>
        <w:ind w:hanging="1440" w:start="1440" w:end="0"/>
        <w:jc w:val="both"/>
        <w:rPr/>
      </w:pPr>
      <w:r>
        <w:rPr>
          <w:b/>
          <w:sz w:val="22"/>
        </w:rPr>
        <w:t>Products:</w:t>
        <w:tab/>
      </w:r>
      <w:r>
        <w:rPr>
          <w:sz w:val="22"/>
        </w:rPr>
        <w:t>Product 1: 7 x 24 - Energy delivered every hour of the delivery term throughout the Term of the Agreement.</w:t>
      </w:r>
    </w:p>
    <w:p>
      <w:pPr>
        <w:pStyle w:val="Normal"/>
        <w:spacing w:lineRule="atLeast" w:line="240"/>
        <w:jc w:val="both"/>
        <w:rPr>
          <w:sz w:val="22"/>
        </w:rPr>
      </w:pPr>
      <w:r>
        <w:rPr>
          <w:sz w:val="22"/>
        </w:rPr>
        <w:tab/>
      </w:r>
    </w:p>
    <w:p>
      <w:pPr>
        <w:pStyle w:val="Normal"/>
        <w:spacing w:lineRule="atLeast" w:line="240"/>
        <w:ind w:start="1440" w:end="0"/>
        <w:jc w:val="both"/>
        <w:rPr>
          <w:sz w:val="22"/>
        </w:rPr>
      </w:pPr>
      <w:r>
        <w:rPr>
          <w:sz w:val="22"/>
        </w:rPr>
        <w:t>Product 2: 6 x 16 – Energy delivered HE 0700 – HE 2200, Monday through Saturdays, excluding NERC Holidays, throughout the Term of the Agreement.</w:t>
      </w:r>
    </w:p>
    <w:p>
      <w:pPr>
        <w:pStyle w:val="Normal"/>
        <w:spacing w:lineRule="atLeast" w:line="240"/>
        <w:ind w:start="1440" w:end="0"/>
        <w:jc w:val="both"/>
        <w:rPr>
          <w:sz w:val="22"/>
        </w:rPr>
      </w:pPr>
      <w:r>
        <w:rPr>
          <w:sz w:val="22"/>
        </w:rPr>
      </w:r>
    </w:p>
    <w:p>
      <w:pPr>
        <w:pStyle w:val="Normal"/>
        <w:ind w:hanging="1440" w:start="1440" w:end="0"/>
        <w:rPr/>
      </w:pPr>
      <w:r>
        <w:rPr>
          <w:b/>
          <w:sz w:val="22"/>
        </w:rPr>
        <w:t>Quantity:</w:t>
      </w:r>
      <w:r>
        <w:rPr>
          <w:sz w:val="22"/>
        </w:rPr>
        <w:tab/>
        <w:t xml:space="preserve">Up to 100 MW in total for all 3 products.  Prices for additional 100 MW increments would be $.50/MWhr higher.  </w:t>
      </w:r>
    </w:p>
    <w:p>
      <w:pPr>
        <w:pStyle w:val="Normal"/>
        <w:rPr>
          <w:b/>
          <w:sz w:val="22"/>
        </w:rPr>
      </w:pPr>
      <w:r>
        <w:rPr>
          <w:b/>
          <w:sz w:val="22"/>
        </w:rPr>
      </w:r>
    </w:p>
    <w:p>
      <w:pPr>
        <w:pStyle w:val="Normal"/>
        <w:rPr>
          <w:b/>
          <w:sz w:val="22"/>
        </w:rPr>
      </w:pPr>
      <w:r>
        <w:rPr>
          <w:b/>
          <w:sz w:val="22"/>
        </w:rPr>
        <w:t>Price/Term:</w:t>
        <w:tab/>
        <w:tab/>
        <w:tab/>
        <w:tab/>
        <w:tab/>
        <w:tab/>
        <w:t xml:space="preserve">   Price</w:t>
        <w:tab/>
      </w:r>
    </w:p>
    <w:p>
      <w:pPr>
        <w:pStyle w:val="Normal"/>
        <w:rPr>
          <w:b/>
          <w:sz w:val="22"/>
        </w:rPr>
      </w:pPr>
      <w:r>
        <w:rPr>
          <w:b/>
          <w:sz w:val="22"/>
        </w:rPr>
        <w:tab/>
        <w:tab/>
        <w:t xml:space="preserve">Product </w:t>
        <w:tab/>
        <w:t>Term</w:t>
        <w:tab/>
        <w:tab/>
        <w:tab/>
        <w:t>$/MWhr</w:t>
      </w:r>
    </w:p>
    <w:p>
      <w:pPr>
        <w:pStyle w:val="Normal"/>
        <w:tabs>
          <w:tab w:val="clear" w:pos="720"/>
          <w:tab w:val="left" w:pos="1440" w:leader="none"/>
        </w:tabs>
        <w:rPr/>
      </w:pPr>
      <w:r>
        <w:rPr>
          <w:b/>
          <w:sz w:val="22"/>
        </w:rPr>
        <w:tab/>
      </w:r>
      <w:r>
        <w:rPr>
          <w:sz w:val="22"/>
        </w:rPr>
        <w:t>Product 1</w:t>
        <w:tab/>
        <w:t>Oct. ’00 – Feb. ‘01</w:t>
        <w:tab/>
        <w:t xml:space="preserve">  $67.00</w:t>
      </w:r>
    </w:p>
    <w:p>
      <w:pPr>
        <w:pStyle w:val="Normal"/>
        <w:tabs>
          <w:tab w:val="clear" w:pos="720"/>
          <w:tab w:val="left" w:pos="1440" w:leader="none"/>
        </w:tabs>
        <w:rPr>
          <w:sz w:val="22"/>
        </w:rPr>
      </w:pPr>
      <w:r>
        <w:rPr>
          <w:sz w:val="22"/>
        </w:rPr>
        <w:tab/>
        <w:t>Product 1</w:t>
        <w:tab/>
        <w:t>Oct. ’00 – Dec. ’03</w:t>
        <w:tab/>
        <w:t xml:space="preserve">  $56.50</w:t>
      </w:r>
    </w:p>
    <w:p>
      <w:pPr>
        <w:pStyle w:val="Normal"/>
        <w:tabs>
          <w:tab w:val="clear" w:pos="720"/>
          <w:tab w:val="left" w:pos="1440" w:leader="none"/>
        </w:tabs>
        <w:rPr>
          <w:sz w:val="22"/>
        </w:rPr>
      </w:pPr>
      <w:r>
        <w:rPr>
          <w:sz w:val="22"/>
        </w:rPr>
        <w:tab/>
        <w:t>Product 1</w:t>
        <w:tab/>
        <w:t>Oct. ’00 – Dec. ’05</w:t>
        <w:tab/>
        <w:t xml:space="preserve">  $52.00</w:t>
      </w:r>
    </w:p>
    <w:p>
      <w:pPr>
        <w:pStyle w:val="Normal"/>
        <w:tabs>
          <w:tab w:val="clear" w:pos="720"/>
          <w:tab w:val="left" w:pos="1800" w:leader="none"/>
        </w:tabs>
        <w:ind w:hanging="1440" w:start="1440" w:end="0"/>
        <w:rPr>
          <w:sz w:val="22"/>
        </w:rPr>
      </w:pPr>
      <w:r>
        <w:rPr>
          <w:sz w:val="22"/>
        </w:rPr>
        <w:tab/>
        <w:t>Product 2</w:t>
        <w:tab/>
        <w:t>Oct. ’00 – Dec. ’03</w:t>
        <w:tab/>
        <w:t xml:space="preserve">  $65.00</w:t>
      </w:r>
    </w:p>
    <w:p>
      <w:pPr>
        <w:pStyle w:val="Normal"/>
        <w:tabs>
          <w:tab w:val="clear" w:pos="720"/>
          <w:tab w:val="left" w:pos="1800" w:leader="none"/>
        </w:tabs>
        <w:ind w:hanging="1440" w:start="1440" w:end="0"/>
        <w:rPr>
          <w:sz w:val="22"/>
        </w:rPr>
      </w:pPr>
      <w:r>
        <w:rPr>
          <w:sz w:val="22"/>
        </w:rPr>
        <w:tab/>
        <w:t>Product 2</w:t>
        <w:tab/>
        <w:t>Oct. ’00 – Dec. ’03</w:t>
        <w:tab/>
        <w:t xml:space="preserve">  $59.00</w:t>
      </w:r>
    </w:p>
    <w:p>
      <w:pPr>
        <w:pStyle w:val="Normal"/>
        <w:tabs>
          <w:tab w:val="clear" w:pos="720"/>
          <w:tab w:val="left" w:pos="1800" w:leader="none"/>
        </w:tabs>
        <w:ind w:hanging="1440" w:start="1440" w:end="0"/>
        <w:rPr>
          <w:sz w:val="22"/>
        </w:rPr>
      </w:pPr>
      <w:r>
        <w:rPr>
          <w:sz w:val="22"/>
        </w:rPr>
      </w:r>
    </w:p>
    <w:p>
      <w:pPr>
        <w:pStyle w:val="Normal"/>
        <w:tabs>
          <w:tab w:val="clear" w:pos="720"/>
          <w:tab w:val="left" w:pos="1440" w:leader="none"/>
          <w:tab w:val="left" w:pos="1800" w:leader="none"/>
        </w:tabs>
        <w:ind w:hanging="1440" w:start="1440" w:end="0"/>
        <w:rPr/>
      </w:pPr>
      <w:r>
        <w:rPr>
          <w:b/>
          <w:sz w:val="22"/>
        </w:rPr>
        <w:t>Conditions:</w:t>
      </w:r>
      <w:r>
        <w:rPr>
          <w:sz w:val="22"/>
        </w:rPr>
        <w:tab/>
        <w:t>1)</w:t>
        <w:tab/>
        <w:t xml:space="preserve">Contract will be done as a Confirmation Letter in the form of the enclosed, </w:t>
      </w:r>
    </w:p>
    <w:p>
      <w:pPr>
        <w:pStyle w:val="Normal"/>
        <w:tabs>
          <w:tab w:val="clear" w:pos="720"/>
          <w:tab w:val="left" w:pos="1440" w:leader="none"/>
          <w:tab w:val="left" w:pos="1800" w:leader="none"/>
        </w:tabs>
        <w:ind w:hanging="1440" w:start="1440" w:end="0"/>
        <w:rPr/>
      </w:pPr>
      <w:r>
        <w:rPr>
          <w:b/>
          <w:sz w:val="22"/>
        </w:rPr>
        <w:tab/>
        <w:tab/>
      </w:r>
      <w:r>
        <w:rPr>
          <w:sz w:val="22"/>
        </w:rPr>
        <w:t>pursuant to the Western Systems Power Pool Agreement.</w:t>
      </w:r>
    </w:p>
    <w:p>
      <w:pPr>
        <w:pStyle w:val="Normal"/>
        <w:numPr>
          <w:ilvl w:val="0"/>
          <w:numId w:val="2"/>
        </w:numPr>
        <w:tabs>
          <w:tab w:val="clear" w:pos="720"/>
          <w:tab w:val="left" w:pos="1440" w:leader="none"/>
        </w:tabs>
        <w:rPr>
          <w:sz w:val="22"/>
        </w:rPr>
      </w:pPr>
      <w:r>
        <w:rPr>
          <w:sz w:val="22"/>
        </w:rPr>
        <w:t>Power deliveries shall be scheduled with the California Independent System Operator (CAISO) as a Schedule Coordinator to Schedule Coordinator transaction.  Scheduling timelines shall be consistent with ISO tariffs, protocols, operating procedures, and scheduling practices.</w:t>
      </w:r>
    </w:p>
    <w:p>
      <w:pPr>
        <w:pStyle w:val="Normal"/>
        <w:numPr>
          <w:ilvl w:val="0"/>
          <w:numId w:val="2"/>
        </w:numPr>
        <w:tabs>
          <w:tab w:val="clear" w:pos="720"/>
          <w:tab w:val="left" w:pos="1440" w:leader="none"/>
          <w:tab w:val="left" w:pos="1800" w:leader="none"/>
        </w:tabs>
        <w:rPr>
          <w:sz w:val="22"/>
        </w:rPr>
      </w:pPr>
      <w:r>
        <w:rPr>
          <w:sz w:val="22"/>
        </w:rPr>
        <w:t>“</w:t>
      </w:r>
      <w:r>
        <w:rPr>
          <w:sz w:val="22"/>
        </w:rPr>
        <w:t xml:space="preserve">CAISO Firm Energy” means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 called by the CAISO in accordance with the terms in the Tariff.  A CAISO Schedule Adjustment shall not constitute an Uncontrollable Force; rather, if there is a CAISO Schedule Adjustment, the Parties shall make an adjustment payment (the "Adjustment Payment") with respect to the Contract Quantity to which the CAISO Schedule Adjustment applies (the "Affected Contract Quantity").  If the Ex Post Price (as defined in the Tariff) that Buyer is required to pay the CAISO is greater than the Contract Price, then Seller shall pay Buyer an Adjustment Payment equal to the Affected Contract Quantity times the difference between the Ex Post Price and the Contract Price.  If the Ex Post Price that Buyer is required to pay the CAISO is less than the Contract Price, then Buyer shall pay Seller an Adjustment Payment equal to the Affected Contract Quantity times the difference between the Contract Price and the Ex Post Price.  If the Ex Post Price is less than 0, then Seller shall pay Buyer an Adjustment Payment equal to the Affected Contract Quantity times the absolute value of the Ex Post Price.  </w:t>
      </w:r>
    </w:p>
    <w:p>
      <w:pPr>
        <w:pStyle w:val="Normal"/>
        <w:numPr>
          <w:ilvl w:val="0"/>
          <w:numId w:val="2"/>
        </w:numPr>
        <w:tabs>
          <w:tab w:val="clear" w:pos="720"/>
          <w:tab w:val="left" w:pos="1440" w:leader="none"/>
          <w:tab w:val="left" w:pos="1800" w:leader="none"/>
        </w:tabs>
        <w:rPr>
          <w:color w:val="000000"/>
          <w:sz w:val="22"/>
          <w:lang w:eastAsia="en-US"/>
        </w:rPr>
      </w:pPr>
      <w:r>
        <w:rPr/>
        <w:t>“</w:t>
      </w:r>
      <w:r>
        <w:rPr>
          <w:sz w:val="22"/>
        </w:rPr>
        <w:t>CAISO Schedule Adjustment" means a schedule change implemented by the CAISO that is neither caused by, or within the control of, either Party and that results in the CAISO applying Ex Post Pricing to all or part of the Contract Quantity.</w:t>
      </w:r>
    </w:p>
    <w:p>
      <w:pPr>
        <w:pStyle w:val="Normal"/>
        <w:numPr>
          <w:ilvl w:val="0"/>
          <w:numId w:val="2"/>
        </w:numPr>
        <w:tabs>
          <w:tab w:val="clear" w:pos="720"/>
          <w:tab w:val="left" w:pos="1440" w:leader="none"/>
          <w:tab w:val="left" w:pos="1800" w:leader="none"/>
        </w:tabs>
        <w:rPr>
          <w:b/>
          <w:sz w:val="22"/>
        </w:rPr>
      </w:pPr>
      <w:r>
        <w:rPr>
          <w:b/>
          <w:sz w:val="22"/>
        </w:rPr>
        <w:t xml:space="preserve">NOTWITHSTANDING ANYTHING TO THE CONTRARY IN THE REQUEST FOR PROPOSAL FOR FIRM POWER FROM SAN DIEGO GAS &amp; ELECTRIC COMPANY DATED AUGUST 22, 2000,(“RFP TERMS”) ENRON POWER MARKETING, INC. (“EPMI”)  SHALL NOT BE LEGALLY BOUND BY ANY PROPOSED PRICING SET FORTH IN THIS TERM SHEET UNLESS AND UNTIL EPMI CONFIRMS IN WRITING IN A DEFINITIVE AGREEMENT THAT IT IS SO BOUND.  THE PRICING PROPESED IN THIS TERM SHEET IS INDICIATIVE ONLY AND NOTWITHSTANDING ANYTHING TO THE CONTRARY IN THE RFP TERMS, EPMI IS NOT HOLDING THE PRICING OPEN AS A LEGALLY BINDING OFFER UNTIL SEPTEMBER 9,2000.  EPMI EXPRESSLY RESERVES THE RIGHT TO CHANGE THE PRICING IN THIS TERM SHEET AT ANY TIME UP AND UNTIL THE RFP PROCESS IS COMPLETED AND SHALL ONLY BE BOUND TO ANY PRICING UPON EXECUTION OF AN ACCEPTABLE DEFINITIVE AGREEMENT ALL TERMS AND CONDITIONS, INCLUDING PRICING TERMS ACCEPTABLE TO EPMI.  </w:t>
      </w:r>
    </w:p>
    <w:p>
      <w:pPr>
        <w:pStyle w:val="BodyText"/>
        <w:tabs>
          <w:tab w:val="clear" w:pos="720"/>
          <w:tab w:val="left" w:pos="1440" w:leader="none"/>
        </w:tabs>
        <w:rPr>
          <w:b/>
          <w:i w:val="false"/>
          <w:i w:val="false"/>
          <w:sz w:val="22"/>
        </w:rPr>
      </w:pPr>
      <w:r>
        <w:rPr>
          <w:b/>
          <w:i w:val="false"/>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1800"/>
        </w:tabs>
        <w:ind w:start="180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2"/>
    </w:rPr>
  </w:style>
  <w:style w:type="paragraph" w:styleId="Heading2">
    <w:name w:val="heading 2"/>
    <w:basedOn w:val="Normal"/>
    <w:next w:val="Normal"/>
    <w:qFormat/>
    <w:pPr>
      <w:keepNext w:val="true"/>
      <w:numPr>
        <w:ilvl w:val="1"/>
        <w:numId w:val="1"/>
      </w:numPr>
      <w:tabs>
        <w:tab w:val="clear" w:pos="720"/>
        <w:tab w:val="left" w:pos="1440" w:leader="none"/>
        <w:tab w:val="left" w:pos="2520" w:leader="none"/>
      </w:tabs>
      <w:outlineLvl w:val="1"/>
    </w:pPr>
    <w:rPr>
      <w:b/>
    </w:rPr>
  </w:style>
  <w:style w:type="paragraph" w:styleId="Heading3">
    <w:name w:val="heading 3"/>
    <w:basedOn w:val="Normal"/>
    <w:next w:val="Normal"/>
    <w:qFormat/>
    <w:pPr>
      <w:keepNext w:val="true"/>
      <w:numPr>
        <w:ilvl w:val="2"/>
        <w:numId w:val="1"/>
      </w:numPr>
      <w:jc w:val="center"/>
      <w:outlineLvl w:val="2"/>
    </w:pPr>
    <w:rPr>
      <w:b/>
      <w:sz w:val="22"/>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160" w:start="2160" w:end="0"/>
    </w:pPr>
    <w:rPr/>
  </w:style>
  <w:style w:type="paragraph" w:styleId="BodyText3">
    <w:name w:val="Body Text 3"/>
    <w:basedOn w:val="Normal"/>
    <w:qFormat/>
    <w:pPr/>
    <w:rPr>
      <w:i/>
    </w:rPr>
  </w:style>
  <w:style w:type="paragraph" w:styleId="BodyTextIndent2">
    <w:name w:val="Body Text Indent 2"/>
    <w:basedOn w:val="Normal"/>
    <w:qFormat/>
    <w:pPr>
      <w:ind w:hanging="0" w:start="1440" w:end="0"/>
    </w:pPr>
    <w:rPr/>
  </w:style>
  <w:style w:type="paragraph" w:styleId="BodyTextIndent3">
    <w:name w:val="Body Text Indent 3"/>
    <w:basedOn w:val="Normal"/>
    <w:qFormat/>
    <w:pPr>
      <w:ind w:hanging="0" w:start="1440" w:end="0"/>
    </w:pPr>
    <w:rPr>
      <w:i/>
      <w:sz w:val="24"/>
    </w:rPr>
  </w:style>
  <w:style w:type="paragraph" w:styleId="BodyText2">
    <w:name w:val="Body Text 2"/>
    <w:basedOn w:val="Normal"/>
    <w:qFormat/>
    <w:pPr/>
    <w:rPr>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2000-08-28T12:09:00Z</dcterms:created>
  <dc:creator>Preferred Customer</dc:creator>
  <dc:description/>
  <dc:language>en-CA</dc:language>
  <cp:lastModifiedBy>cfoster</cp:lastModifiedBy>
  <cp:lastPrinted>2000-09-05T11:20:00Z</cp:lastPrinted>
  <dcterms:modified xsi:type="dcterms:W3CDTF">2000-09-05T15:54:00Z</dcterms:modified>
  <cp:revision>12</cp:revision>
  <dc:subject/>
  <dc:title>TERMS AND CONDITIONS FOR</dc:title>
</cp:coreProperties>
</file>