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 Proposal, January 21, 2001, 5 PM</w:t>
      </w:r>
    </w:p>
    <w:p>
      <w:pPr>
        <w:pStyle w:val="Normal"/>
        <w:rPr/>
      </w:pPr>
      <w:r>
        <w:rPr/>
      </w:r>
    </w:p>
    <w:p>
      <w:pPr>
        <w:pStyle w:val="Normal"/>
        <w:rPr/>
      </w:pPr>
      <w:r>
        <w:rPr/>
        <w:tab/>
        <w:t>Southern California Edison, Pacific Gas and Electric, the State of California, the independent generating companies and the state’s largest industries will enter a contract the purpose of which is to achieve less volatile and lower electricity prices while eliminating the possibilities of blackouts.  The elements of the proposal involve the following:</w:t>
      </w:r>
    </w:p>
    <w:p>
      <w:pPr>
        <w:pStyle w:val="Normal"/>
        <w:rPr/>
      </w:pPr>
      <w:r>
        <w:rPr/>
      </w:r>
    </w:p>
    <w:p>
      <w:pPr>
        <w:pStyle w:val="Normal"/>
        <w:rPr/>
      </w:pPr>
      <w:r>
        <w:rPr/>
        <w:t>Stable retail prices for base residential consumption:  The Governor has promised that electricity rates will not increase.  The compromise will enable him to keep his promise by leaving rates for base consumption unchanged.  Rates for incremental prices will, however be increased.  Above a certain level residential consumers will pay a rate that is a least equal to the price paid for purchased electricity by the ISO.</w:t>
      </w:r>
    </w:p>
    <w:p>
      <w:pPr>
        <w:pStyle w:val="Normal"/>
        <w:rPr/>
      </w:pPr>
      <w:r>
        <w:rPr/>
      </w:r>
    </w:p>
    <w:p>
      <w:pPr>
        <w:pStyle w:val="Normal"/>
        <w:rPr/>
      </w:pPr>
      <w:r>
        <w:rPr/>
        <w:t>Elimination of regulatory barriers to instillation of distributed generation by consumers:  Existing barriers to the operation of distributed generation facilities by customers of California’s electric utilities will be eliminated to encourage construction of distributed generation by customers.</w:t>
      </w:r>
    </w:p>
    <w:p>
      <w:pPr>
        <w:pStyle w:val="Normal"/>
        <w:rPr/>
      </w:pPr>
      <w:r>
        <w:rPr/>
      </w:r>
    </w:p>
    <w:p>
      <w:pPr>
        <w:pStyle w:val="Normal"/>
        <w:rPr/>
      </w:pPr>
      <w:r>
        <w:rPr/>
        <w:t>Removal of barriers to construction of natural gas distribution pipelines into metropolitan service areas.  California utilities will cooperate in the permitting and construction of proposed pipelines to bring additional supplies of natural gas into California metropolitan areas.</w:t>
      </w:r>
    </w:p>
    <w:p>
      <w:pPr>
        <w:pStyle w:val="Normal"/>
        <w:rPr/>
      </w:pPr>
      <w:r>
        <w:rPr/>
      </w:r>
    </w:p>
    <w:p>
      <w:pPr>
        <w:pStyle w:val="Normal"/>
        <w:rPr/>
      </w:pPr>
      <w:r>
        <w:rPr/>
        <w:t xml:space="preserve">Removal of barriers to the commercial storage of natural gas.  Owners of natural gas storage facilities will be required to remove barriers to commercial access of their storage facilities.  </w:t>
      </w:r>
    </w:p>
    <w:p>
      <w:pPr>
        <w:pStyle w:val="Normal"/>
        <w:rPr/>
      </w:pPr>
      <w:r>
        <w:rPr/>
      </w:r>
    </w:p>
    <w:p>
      <w:pPr>
        <w:pStyle w:val="Normal"/>
        <w:rPr/>
      </w:pPr>
      <w:r>
        <w:rPr/>
        <w:t>Provision of capital to California’s Utilities:  The industrial consumers will provide financing in the amount of  $___ billion to Edison and PG&amp;E.  This funding will be provided either through the purchase of notes issued by the utilities or through an intermediary created to purchase such notes.  Sufficient funds will be provided to reestablish the creditworthiness of the utilities including payment of interest on outstanding bond issues and preferred stock.</w:t>
      </w:r>
    </w:p>
    <w:p>
      <w:pPr>
        <w:pStyle w:val="Normal"/>
        <w:rPr/>
      </w:pPr>
      <w:r>
        <w:rPr/>
      </w:r>
    </w:p>
    <w:p>
      <w:pPr>
        <w:pStyle w:val="Normal"/>
        <w:rPr/>
      </w:pPr>
      <w:r>
        <w:rPr/>
        <w:t>Negotiation of reductions in electricity use:  Industrial customers will be permitted to negotiate a program of conservation which will reduce electricity use particularly during peak hours of the summer.   Some of these conservation programs could be ordered on a statewide basis by the governor.</w:t>
      </w:r>
    </w:p>
    <w:p>
      <w:pPr>
        <w:pStyle w:val="Normal"/>
        <w:rPr/>
      </w:pPr>
      <w:r>
        <w:rPr/>
      </w:r>
    </w:p>
    <w:p>
      <w:pPr>
        <w:pStyle w:val="Normal"/>
        <w:rPr/>
      </w:pPr>
      <w:r>
        <w:rPr/>
        <w:t xml:space="preserve">Seasonal adjustment of air quality standards:  California regulatory bodies will relax environmental restrictions during those months of the year when ambient conditions permit.  This relaxation will permit generators to use oil rather than natural gas, thereby permitting the states inventories of natural gas to be rebuilt.  </w:t>
      </w:r>
    </w:p>
    <w:p>
      <w:pPr>
        <w:pStyle w:val="Normal"/>
        <w:rPr/>
      </w:pPr>
      <w:r>
        <w:rPr/>
        <w:t xml:space="preserve"> </w:t>
      </w:r>
      <w:r>
        <w:br w:type="page"/>
      </w:r>
    </w:p>
    <w:p>
      <w:pPr>
        <w:pStyle w:val="Normal"/>
        <w:rPr>
          <w:u w:val="single"/>
        </w:rPr>
      </w:pPr>
      <w:r>
        <w:rPr>
          <w:u w:val="single"/>
        </w:rPr>
        <w:t>Discussion and thoughts</w:t>
      </w:r>
    </w:p>
    <w:p>
      <w:pPr>
        <w:pStyle w:val="Normal"/>
        <w:rPr>
          <w:u w:val="single"/>
        </w:rPr>
      </w:pPr>
      <w:r>
        <w:rPr>
          <w:u w:val="single"/>
        </w:rPr>
      </w:r>
    </w:p>
    <w:p>
      <w:pPr>
        <w:pStyle w:val="Normal"/>
        <w:rPr/>
      </w:pPr>
      <w:r>
        <w:rPr/>
        <w:tab/>
        <w:t>The proposal is terse and probably too short.  Here are a few comments.</w:t>
      </w:r>
    </w:p>
    <w:p>
      <w:pPr>
        <w:pStyle w:val="Normal"/>
        <w:rPr/>
      </w:pPr>
      <w:r>
        <w:rPr/>
      </w:r>
    </w:p>
    <w:p>
      <w:pPr>
        <w:pStyle w:val="Normal"/>
        <w:rPr/>
      </w:pPr>
      <w:r>
        <w:rPr/>
        <w:t>Funds can be provided to utilities either through the direct purchase of notes issued by the utilities or through the creation of a special entity which would be chartered to lend to the utilities.   The special entity could sell stock or bonds to the industrial customers and then purchase notes from utilities over a period of time as funds were needed.  This later approach could reduce the amount of capital industrial users and others were required to provide initially while simultaneously giving the customers some control over the actions taken by the utilities.  The entity could follow the model created for the IMF.  The logical CEO of the entity would by former Secretary Summers.  The CEO could use the leverage of conditional financing to achieve the goals sought by the public, the state and consumers.</w:t>
      </w:r>
    </w:p>
    <w:p>
      <w:pPr>
        <w:pStyle w:val="Normal"/>
        <w:rPr/>
      </w:pPr>
      <w:r>
        <w:rPr/>
      </w:r>
    </w:p>
    <w:p>
      <w:pPr>
        <w:pStyle w:val="Normal"/>
        <w:rPr/>
      </w:pPr>
      <w:r>
        <w:rPr/>
        <w:tab/>
        <w:t xml:space="preserve">Conservation programs might include banning of outside lighting including advertising.  During the 1973 energy crisis President Nixon issued a ban on outside “promotional, display and ornamental” lighting.  It worked then.  Customers of utilities such as automobile firms cooperated.  The key to success is a uniform state wide ban on lighting.  While firms are unwilling to unilaterally disarm, a state wide ban would prevent one firm from taking a competitive advantage.   The ban on outside lighting would also emphasize the serious nature of the crisis to consumers.  The ban should apply throughout the state – not just to customers of PG&amp;E and Edison.  (Alternatively, the state could require that utilities impose a mandatory surcharge on outside lighting which would achieve the same effect.)  </w:t>
      </w:r>
    </w:p>
    <w:p>
      <w:pPr>
        <w:pStyle w:val="Normal"/>
        <w:rPr/>
      </w:pPr>
      <w:r>
        <w:rPr/>
      </w:r>
    </w:p>
    <w:p>
      <w:pPr>
        <w:pStyle w:val="Normal"/>
        <w:rPr/>
      </w:pPr>
      <w:r>
        <w:rPr/>
        <w:tab/>
        <w:t>Substitution of oil for natural gas is required to rebuild inventories in the state.  Most analysts believe that the state entered the winter with very low inventories.   This situation was partially caused by the tragic explosion on the El Paso line.  It is essential though that inventories be rebuilt during the spring and again next fall.  Substitution of oil for natural gas at those generating facilities capable of using oil during winter and spring months would facilitate the rebuilding of inventories.</w:t>
      </w:r>
    </w:p>
    <w:p>
      <w:pPr>
        <w:pStyle w:val="Normal"/>
        <w:rPr/>
      </w:pPr>
      <w:r>
        <w:rPr/>
      </w:r>
    </w:p>
    <w:p>
      <w:pPr>
        <w:pStyle w:val="Normal"/>
        <w:rPr/>
      </w:pPr>
      <w:r>
        <w:rPr/>
        <w:tab/>
        <w:t>There have also been reports that some firms have been unable to store gas because the owners of storage facilities have made access difficult.  Any regulatory impediments should be removed so that access to storage is unimpeded.  Generators and large consumers of natural gas should be encouraged to build gas inventories.  The proposal adopted by the state of New York which required interruptible consumers of natural gas to hold or pay for inventories of back up fuel could be tailored to the California situation.  The solution adopted by New York has worked so far during the winter of 2000/2001.</w:t>
      </w:r>
    </w:p>
    <w:p>
      <w:pPr>
        <w:pStyle w:val="Normal"/>
        <w:rPr/>
      </w:pPr>
      <w:r>
        <w:rPr/>
      </w:r>
    </w:p>
    <w:p>
      <w:pPr>
        <w:pStyle w:val="Normal"/>
        <w:rPr/>
      </w:pPr>
      <w:r>
        <w:rPr/>
      </w:r>
    </w:p>
    <w:p>
      <w:pPr>
        <w:pStyle w:val="Normal"/>
        <w:rPr/>
      </w:pPr>
      <w:r>
        <w:rPr/>
      </w:r>
    </w:p>
    <w:p>
      <w:pPr>
        <w:pStyle w:val="Normal"/>
        <w:rPr/>
      </w:pPr>
      <w:r>
        <w:rPr/>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2001-01-21T12:33:00Z</dcterms:created>
  <dc:creator>Philip Verleger</dc:creator>
  <dc:description/>
  <dc:language>en-CA</dc:language>
  <cp:lastModifiedBy>Philip Verleger</cp:lastModifiedBy>
  <dcterms:modified xsi:type="dcterms:W3CDTF">2001-01-21T14:59:00Z</dcterms:modified>
  <cp:revision>2</cp:revision>
  <dc:subject/>
  <dc:title>Proposal</dc:title>
</cp:coreProperties>
</file>