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color w:val="C0C0C0"/>
          <w:sz w:val="44"/>
        </w:rPr>
      </w:pPr>
      <w:r>
        <w:rPr>
          <w:color w:val="C0C0C0"/>
          <w:sz w:val="44"/>
        </w:rPr>
      </w:r>
    </w:p>
    <w:p>
      <w:pPr>
        <w:pStyle w:val="Normal"/>
        <w:spacing w:before="1200" w:after="0"/>
        <w:jc w:val="center"/>
        <w:rPr>
          <w:b/>
          <w:sz w:val="48"/>
        </w:rPr>
      </w:pPr>
      <w:r>
        <w:rPr>
          <w:b/>
          <w:sz w:val="48"/>
        </w:rPr>
        <w:t>Proposal for Document</w:t>
      </w:r>
    </w:p>
    <w:p>
      <w:pPr>
        <w:pStyle w:val="Normal"/>
        <w:spacing w:before="0" w:after="1000"/>
        <w:jc w:val="center"/>
        <w:rPr>
          <w:b/>
          <w:sz w:val="48"/>
        </w:rPr>
      </w:pPr>
      <w:r>
        <w:rPr>
          <w:b/>
          <w:sz w:val="48"/>
        </w:rPr>
        <w:t>Negotiation Platform</w:t>
      </w:r>
    </w:p>
    <w:p>
      <w:pPr>
        <w:pStyle w:val="Normal"/>
        <w:jc w:val="center"/>
        <w:rPr>
          <w:sz w:val="48"/>
        </w:rPr>
      </w:pPr>
      <w:r>
        <w:rPr>
          <w:sz w:val="48"/>
        </w:rPr>
        <w:t xml:space="preserve">Response to </w:t>
      </w:r>
    </w:p>
    <w:p>
      <w:pPr>
        <w:pStyle w:val="Normal"/>
        <w:jc w:val="center"/>
        <w:rPr>
          <w:sz w:val="48"/>
        </w:rPr>
      </w:pPr>
      <w:r>
        <w:rPr>
          <w:sz w:val="48"/>
        </w:rPr>
        <w:t>ISDA’s Request for Proposal</w:t>
      </w:r>
    </w:p>
    <w:p>
      <w:pPr>
        <w:pStyle w:val="Normal"/>
        <w:spacing w:before="0" w:after="2160"/>
        <w:jc w:val="center"/>
        <w:rPr>
          <w:sz w:val="48"/>
        </w:rPr>
      </w:pPr>
      <w:r>
        <w:rPr>
          <w:sz w:val="48"/>
        </w:rPr>
        <w:t>dated 27 July 2000</w:t>
      </w:r>
    </w:p>
    <w:p>
      <w:pPr>
        <w:pStyle w:val="Normal"/>
        <w:jc w:val="center"/>
        <w:rPr>
          <w:sz w:val="40"/>
        </w:rPr>
      </w:pPr>
      <w:r>
        <w:rPr>
          <w:sz w:val="40"/>
        </w:rPr>
        <w:t>By a</w:t>
      </w:r>
    </w:p>
    <w:p>
      <w:pPr>
        <w:pStyle w:val="BodyText2"/>
        <w:rPr>
          <w:sz w:val="20"/>
        </w:rPr>
      </w:pPr>
      <w:r>
        <w:rPr/>
        <w:t>consortium comprising</w:t>
        <w:br/>
      </w:r>
    </w:p>
    <w:p>
      <w:pPr>
        <w:pStyle w:val="Normal"/>
        <w:jc w:val="center"/>
        <w:rPr>
          <w:b/>
          <w:sz w:val="48"/>
        </w:rPr>
      </w:pPr>
      <w:r>
        <w:rPr>
          <w:b/>
          <w:sz w:val="48"/>
        </w:rPr>
        <w:t>Enron Corp.</w:t>
      </w:r>
    </w:p>
    <w:p>
      <w:pPr>
        <w:pStyle w:val="Normal"/>
        <w:jc w:val="center"/>
        <w:rPr>
          <w:b/>
          <w:sz w:val="48"/>
        </w:rPr>
      </w:pPr>
      <w:r>
        <w:rPr>
          <w:b/>
          <w:sz w:val="48"/>
        </w:rPr>
      </w:r>
    </w:p>
    <w:p>
      <w:pPr>
        <w:pStyle w:val="Normal"/>
        <w:jc w:val="center"/>
        <w:rPr>
          <w:b/>
          <w:sz w:val="48"/>
        </w:rPr>
      </w:pPr>
      <w:r>
        <w:rPr>
          <w:b/>
          <w:sz w:val="48"/>
        </w:rPr>
        <w:t xml:space="preserve">Mallesons Stephen Jaques </w:t>
      </w:r>
    </w:p>
    <w:p>
      <w:pPr>
        <w:pStyle w:val="Normal"/>
        <w:jc w:val="center"/>
        <w:rPr>
          <w:b/>
          <w:sz w:val="28"/>
        </w:rPr>
      </w:pPr>
      <w:r>
        <w:rPr>
          <w:b/>
          <w:sz w:val="28"/>
        </w:rPr>
      </w:r>
    </w:p>
    <w:p>
      <w:pPr>
        <w:pStyle w:val="Normal"/>
        <w:jc w:val="center"/>
        <w:rPr>
          <w:sz w:val="28"/>
        </w:rPr>
      </w:pPr>
      <w:r>
        <w:rPr>
          <w:sz w:val="28"/>
        </w:rPr>
      </w:r>
    </w:p>
    <w:p>
      <w:pPr>
        <w:sectPr>
          <w:headerReference w:type="default" r:id="rId2"/>
          <w:headerReference w:type="first" r:id="rId3"/>
          <w:footerReference w:type="default" r:id="rId4"/>
          <w:footerReference w:type="first" r:id="rId5"/>
          <w:type w:val="nextPage"/>
          <w:pgSz w:w="11906" w:h="16838"/>
          <w:pgMar w:left="1418" w:right="1418" w:gutter="0" w:header="720" w:top="1418" w:footer="720" w:bottom="1418"/>
          <w:pgNumType w:start="1" w:fmt="decimal"/>
          <w:formProt w:val="false"/>
          <w:titlePg/>
          <w:textDirection w:val="lrTb"/>
          <w:docGrid w:type="default" w:linePitch="360" w:charSpace="0"/>
        </w:sectPr>
        <w:pStyle w:val="Normal"/>
        <w:jc w:val="center"/>
        <w:rPr>
          <w:sz w:val="28"/>
        </w:rPr>
      </w:pPr>
      <w:r>
        <w:rPr>
          <w:sz w:val="28"/>
        </w:rPr>
        <w:t>8 September 2000</w:t>
      </w:r>
    </w:p>
    <w:p>
      <w:pPr>
        <w:pStyle w:val="Heading1"/>
        <w:ind w:hanging="0" w:start="0"/>
        <w:rPr>
          <w:rFonts w:ascii="Times New Roman" w:hAnsi="Times New Roman" w:cs="Times New Roman"/>
        </w:rPr>
      </w:pPr>
      <w:r>
        <w:rPr>
          <w:rFonts w:cs="Times New Roman" w:ascii="Times New Roman" w:hAnsi="Times New Roman"/>
        </w:rPr>
        <w:t>Introduction</w:t>
      </w:r>
    </w:p>
    <w:p>
      <w:pPr>
        <w:pStyle w:val="Indent2"/>
        <w:jc w:val="both"/>
        <w:rPr/>
      </w:pPr>
      <w:r>
        <w:rPr/>
        <w:t>ISDA recently circulated a Request for Proposal (“RFP”) in relation to an Internet-based negotiation facility for Schedules to ISDA Master Agreements, and associated documents.  ISDA’s objective is to create a standard for members in the use of the Internet to drive efficiencies in the negotiation, execution, and storage of ISDA agreements.</w:t>
      </w:r>
    </w:p>
    <w:p>
      <w:pPr>
        <w:pStyle w:val="Indent2"/>
        <w:jc w:val="both"/>
        <w:rPr/>
      </w:pPr>
      <w:r>
        <w:rPr/>
        <w:t>The RFP acknowledges that an increasing number of different, proprietary online dealrooms are emerging.  Major corporations, law and accounting firms have responded to the opportunities presented by the Internet by creating their own dealrooms, or matter extranets.</w:t>
      </w:r>
    </w:p>
    <w:p>
      <w:pPr>
        <w:pStyle w:val="Indent2"/>
        <w:jc w:val="both"/>
        <w:rPr/>
      </w:pPr>
      <w:r>
        <w:rPr/>
        <w:t>Mallesons Stephen Jaques has been working with ISDA for some time exploring the way that technology can be used to make the process of working with ISDA documents more efficient for its members.</w:t>
      </w:r>
    </w:p>
    <w:p>
      <w:pPr>
        <w:pStyle w:val="Indent2"/>
        <w:jc w:val="both"/>
        <w:rPr/>
      </w:pPr>
      <w:r>
        <w:rPr/>
        <w:t>The consortium shares ISDA’s vision that the market would derive value from one standard being adopted for the online negotiation and execution of ISDA agreements.  Indeed, once developed and syndicated within ISDA’s membership, that site would then be ideally placed to broaden beyond ISDA agreements into other complex contracts required by corporations.</w:t>
      </w:r>
    </w:p>
    <w:p>
      <w:pPr>
        <w:pStyle w:val="Indent2"/>
        <w:spacing w:before="0" w:after="0"/>
        <w:jc w:val="both"/>
        <w:rPr/>
      </w:pPr>
      <w:r>
        <w:rPr/>
        <w:t xml:space="preserve">The consortium proposes to utilize </w:t>
      </w:r>
      <w:r>
        <w:rPr>
          <w:b/>
          <w:i/>
        </w:rPr>
        <w:t>DealBench</w:t>
      </w:r>
      <w:r>
        <w:rPr>
          <w:b/>
          <w:i/>
          <w:vertAlign w:val="superscript"/>
        </w:rPr>
        <w:t>TM</w:t>
      </w:r>
      <w:r>
        <w:rPr/>
        <w:t xml:space="preserve">, a wholly owned entity of Enron Corp, as its underlying dealroom platform.  DealBench is a highly functional tool that manages complex interactions with counterparties through an organized, secure, collaborative and Internet-based environment that dramatically increases deal execution efficiency.  Functional business tools provided by DealBench include:  </w:t>
      </w:r>
    </w:p>
    <w:p>
      <w:pPr>
        <w:pStyle w:val="Indent2"/>
        <w:numPr>
          <w:ilvl w:val="0"/>
          <w:numId w:val="5"/>
        </w:numPr>
        <w:tabs>
          <w:tab w:val="clear" w:pos="737"/>
        </w:tabs>
        <w:spacing w:before="0" w:after="0"/>
        <w:ind w:hanging="270" w:start="1080" w:end="0"/>
        <w:jc w:val="both"/>
        <w:rPr/>
      </w:pPr>
      <w:r>
        <w:rPr/>
        <w:t>document sharing;</w:t>
      </w:r>
    </w:p>
    <w:p>
      <w:pPr>
        <w:pStyle w:val="Indent2"/>
        <w:numPr>
          <w:ilvl w:val="0"/>
          <w:numId w:val="5"/>
        </w:numPr>
        <w:tabs>
          <w:tab w:val="clear" w:pos="737"/>
        </w:tabs>
        <w:spacing w:before="0" w:after="0"/>
        <w:ind w:hanging="270" w:start="1080" w:end="0"/>
        <w:jc w:val="both"/>
        <w:rPr/>
      </w:pPr>
      <w:r>
        <w:rPr/>
        <w:t>multi-media capabilities;</w:t>
      </w:r>
    </w:p>
    <w:p>
      <w:pPr>
        <w:pStyle w:val="Indent2"/>
        <w:numPr>
          <w:ilvl w:val="0"/>
          <w:numId w:val="5"/>
        </w:numPr>
        <w:tabs>
          <w:tab w:val="clear" w:pos="737"/>
        </w:tabs>
        <w:spacing w:before="0" w:after="0"/>
        <w:ind w:hanging="270" w:start="1080" w:end="0"/>
        <w:jc w:val="both"/>
        <w:rPr/>
      </w:pPr>
      <w:r>
        <w:rPr/>
        <w:t>auctioning tools;</w:t>
      </w:r>
    </w:p>
    <w:p>
      <w:pPr>
        <w:pStyle w:val="Indent2"/>
        <w:numPr>
          <w:ilvl w:val="0"/>
          <w:numId w:val="5"/>
        </w:numPr>
        <w:tabs>
          <w:tab w:val="clear" w:pos="737"/>
        </w:tabs>
        <w:spacing w:before="0" w:after="0"/>
        <w:ind w:hanging="270" w:start="1080" w:end="0"/>
        <w:jc w:val="both"/>
        <w:rPr/>
      </w:pPr>
      <w:r>
        <w:rPr/>
        <w:t>DealLine messaging system; and</w:t>
      </w:r>
    </w:p>
    <w:p>
      <w:pPr>
        <w:pStyle w:val="Indent2"/>
        <w:numPr>
          <w:ilvl w:val="0"/>
          <w:numId w:val="5"/>
        </w:numPr>
        <w:tabs>
          <w:tab w:val="clear" w:pos="737"/>
        </w:tabs>
        <w:ind w:hanging="270" w:start="1080" w:end="0"/>
        <w:jc w:val="both"/>
        <w:rPr/>
      </w:pPr>
      <w:r>
        <w:rPr/>
        <w:t>DealNotes reports that help a deal manager monitor the progress of a transaction.</w:t>
      </w:r>
    </w:p>
    <w:p>
      <w:pPr>
        <w:pStyle w:val="Indent2"/>
        <w:jc w:val="both"/>
        <w:rPr/>
      </w:pPr>
      <w:r>
        <w:rPr/>
        <w:t>The consortium believes licensing arrangements for the site can be structured to ensure the necessary levels of independence.</w:t>
      </w:r>
    </w:p>
    <w:p>
      <w:pPr>
        <w:pStyle w:val="Heading1"/>
        <w:spacing w:before="120" w:after="240"/>
        <w:ind w:hanging="0" w:start="0"/>
        <w:jc w:val="both"/>
        <w:rPr>
          <w:rFonts w:ascii="Times New Roman" w:hAnsi="Times New Roman" w:cs="Times New Roman"/>
        </w:rPr>
      </w:pPr>
      <w:r>
        <w:rPr>
          <w:rFonts w:cs="Times New Roman" w:ascii="Times New Roman" w:hAnsi="Times New Roman"/>
        </w:rPr>
        <w:t>Consortium members</w:t>
      </w:r>
    </w:p>
    <w:p>
      <w:pPr>
        <w:pStyle w:val="Indent2"/>
        <w:jc w:val="both"/>
        <w:rPr/>
      </w:pPr>
      <w:r>
        <w:rPr/>
        <w:t>The members of the consortium, and the skills they bring to the project are:</w:t>
      </w:r>
    </w:p>
    <w:p>
      <w:pPr>
        <w:pStyle w:val="Indent2"/>
        <w:tabs>
          <w:tab w:val="clear" w:pos="737"/>
          <w:tab w:val="left" w:pos="1560" w:leader="none"/>
          <w:tab w:val="left" w:pos="1985" w:leader="none"/>
        </w:tabs>
        <w:ind w:hanging="1248" w:start="1985" w:end="0"/>
        <w:jc w:val="both"/>
        <w:rPr/>
      </w:pPr>
      <w:r>
        <w:rPr/>
        <w:t>Enron</w:t>
        <w:tab/>
      </w:r>
      <w:r>
        <w:rPr>
          <w:rFonts w:eastAsia="Symbol" w:cs="Symbol" w:ascii="Symbol" w:hAnsi="Symbol"/>
        </w:rPr>
        <w:sym w:font="Symbol" w:char="f02d"/>
      </w:r>
      <w:r>
        <w:rPr/>
        <w:tab/>
        <w:t>Enron is one of the world's leading electricity, natural gas and communications companies.  Enron Net Works, a wholly owned subsidiary of Enron, is a leading developer of online business-to-business platforms.  In November 1999 Enron Net Works launched an online trading platform, EnronOnline, after only seven months development.  EnronOnline is now the world’s largest eCommerce site, having conducted more than $135 billion of transactions during its first nine months of operation.</w:t>
      </w:r>
    </w:p>
    <w:p>
      <w:pPr>
        <w:pStyle w:val="Indent2"/>
        <w:tabs>
          <w:tab w:val="clear" w:pos="737"/>
          <w:tab w:val="left" w:pos="1560" w:leader="none"/>
          <w:tab w:val="left" w:pos="1985" w:leader="none"/>
        </w:tabs>
        <w:ind w:hanging="1248" w:start="1985" w:end="0"/>
        <w:jc w:val="both"/>
        <w:rPr/>
      </w:pPr>
      <w:r>
        <w:rPr/>
        <w:tab/>
        <w:tab/>
        <w:t>In providing EnronOnline to its clients around the world, Enron has developed critical expertise in online contracting in diverse legal jurisdictions.  In this area Enron can draw upon its own local legal resources, in addition to existing relationships with external specialists.</w:t>
      </w:r>
    </w:p>
    <w:p>
      <w:pPr>
        <w:pStyle w:val="Indent2"/>
        <w:tabs>
          <w:tab w:val="clear" w:pos="737"/>
          <w:tab w:val="left" w:pos="1560" w:leader="none"/>
          <w:tab w:val="left" w:pos="1985" w:leader="none"/>
        </w:tabs>
        <w:ind w:hanging="1248" w:start="1985" w:end="0"/>
        <w:jc w:val="both"/>
        <w:rPr/>
      </w:pPr>
      <w:r>
        <w:rPr/>
        <w:t>MSJ</w:t>
        <w:tab/>
      </w:r>
      <w:r>
        <w:rPr>
          <w:rFonts w:eastAsia="Symbol" w:cs="Symbol" w:ascii="Symbol" w:hAnsi="Symbol"/>
        </w:rPr>
        <w:sym w:font="Symbol" w:char="f02d"/>
      </w:r>
      <w:r>
        <w:rPr/>
        <w:tab/>
        <w:t>A leading law firm in ISDA documentation; very experienced (through over a decade’s involvement acting for AFMA) in the processes required to produce industry standard facilities; highly developed e-commerce skills; excellent knowledge of ISDA through ISDA membership and acting as ISDA’s Australian legal counsel; demonstrated commitment to assisting ISDA in its e-strategy through detailed work with ISDA over the past 8 months.</w:t>
      </w:r>
    </w:p>
    <w:p>
      <w:pPr>
        <w:pStyle w:val="Normal"/>
        <w:autoSpaceDE w:val="false"/>
        <w:spacing w:lineRule="atLeast" w:line="240"/>
        <w:ind w:start="737" w:end="0"/>
        <w:jc w:val="both"/>
        <w:rPr/>
      </w:pPr>
      <w:r>
        <w:rPr/>
        <w:t>Both Enron and MSJ have earned world-class reputations and are well known globally.  Fortune magazine has named Enron Corp. as the most innovative American company for each of the past five years. The International Financial Law Review awarded MSJ the “Regional law firm of the year award” at a Hong Kong presentation in February 2000.</w:t>
      </w:r>
    </w:p>
    <w:p>
      <w:pPr>
        <w:pStyle w:val="Normal"/>
        <w:autoSpaceDE w:val="false"/>
        <w:spacing w:lineRule="atLeast" w:line="240"/>
        <w:ind w:start="737" w:end="0"/>
        <w:jc w:val="both"/>
        <w:rPr/>
      </w:pPr>
      <w:r>
        <w:rPr/>
      </w:r>
    </w:p>
    <w:p>
      <w:pPr>
        <w:pStyle w:val="Heading1"/>
        <w:keepNext w:val="true"/>
        <w:tabs>
          <w:tab w:val="left" w:pos="737" w:leader="none"/>
        </w:tabs>
        <w:spacing w:before="120" w:after="240"/>
        <w:ind w:hanging="0" w:start="0"/>
        <w:jc w:val="both"/>
        <w:rPr>
          <w:rFonts w:ascii="Times New Roman" w:hAnsi="Times New Roman" w:cs="Times New Roman"/>
        </w:rPr>
      </w:pPr>
      <w:r>
        <w:rPr>
          <w:rFonts w:cs="Times New Roman" w:ascii="Times New Roman" w:hAnsi="Times New Roman"/>
        </w:rPr>
        <w:t>Preliminary specification for discussion</w:t>
      </w:r>
    </w:p>
    <w:p>
      <w:pPr>
        <w:pStyle w:val="Indent2"/>
        <w:jc w:val="both"/>
        <w:rPr/>
      </w:pPr>
      <w:r>
        <w:rPr/>
        <w:t xml:space="preserve">Set out below is an overview of the functionality that an ISDA site based upon DealBench would provide.  Additional detail will be developed following consultations during the specification period. The consortium would welcome ISDA’s input on the refinement of this functionality to ensure the facility best meets ISDA’s and its members’ requirements.    </w:t>
      </w:r>
    </w:p>
    <w:p>
      <w:pPr>
        <w:pStyle w:val="Indent2"/>
        <w:spacing w:before="0" w:after="0"/>
        <w:ind w:start="0" w:end="0"/>
        <w:jc w:val="both"/>
        <w:rPr/>
      </w:pPr>
      <w:r>
        <w:rPr/>
        <w:tab/>
        <w:t>The site will have the following facilities for ISDA member clients.</w:t>
      </w:r>
    </w:p>
    <w:p>
      <w:pPr>
        <w:pStyle w:val="Indent1"/>
        <w:numPr>
          <w:ilvl w:val="0"/>
          <w:numId w:val="8"/>
        </w:numPr>
        <w:tabs>
          <w:tab w:val="clear" w:pos="737"/>
        </w:tabs>
        <w:spacing w:before="0" w:after="0"/>
        <w:ind w:hanging="270" w:start="1080" w:end="0"/>
        <w:jc w:val="both"/>
        <w:rPr/>
      </w:pPr>
      <w:r>
        <w:rPr/>
        <w:t>Assembly;</w:t>
      </w:r>
    </w:p>
    <w:p>
      <w:pPr>
        <w:pStyle w:val="Indent1"/>
        <w:numPr>
          <w:ilvl w:val="0"/>
          <w:numId w:val="8"/>
        </w:numPr>
        <w:tabs>
          <w:tab w:val="clear" w:pos="737"/>
        </w:tabs>
        <w:spacing w:before="0" w:after="0"/>
        <w:ind w:hanging="270" w:start="1080" w:end="0"/>
        <w:jc w:val="both"/>
        <w:rPr/>
      </w:pPr>
      <w:r>
        <w:rPr/>
        <w:t>Negotiation;</w:t>
      </w:r>
    </w:p>
    <w:p>
      <w:pPr>
        <w:pStyle w:val="Indent1"/>
        <w:numPr>
          <w:ilvl w:val="0"/>
          <w:numId w:val="8"/>
        </w:numPr>
        <w:tabs>
          <w:tab w:val="clear" w:pos="737"/>
        </w:tabs>
        <w:spacing w:before="0" w:after="0"/>
        <w:ind w:hanging="270" w:start="1080" w:end="0"/>
        <w:jc w:val="both"/>
        <w:rPr/>
      </w:pPr>
      <w:r>
        <w:rPr/>
        <w:t>Execution; and</w:t>
      </w:r>
    </w:p>
    <w:p>
      <w:pPr>
        <w:pStyle w:val="Indent1"/>
        <w:numPr>
          <w:ilvl w:val="0"/>
          <w:numId w:val="8"/>
        </w:numPr>
        <w:tabs>
          <w:tab w:val="clear" w:pos="737"/>
        </w:tabs>
        <w:ind w:hanging="270" w:start="1080" w:end="0"/>
        <w:jc w:val="both"/>
        <w:rPr/>
      </w:pPr>
      <w:r>
        <w:rPr/>
        <w:t>Storage.</w:t>
      </w:r>
    </w:p>
    <w:p>
      <w:pPr>
        <w:pStyle w:val="BodyText"/>
        <w:ind w:hanging="1474" w:start="2211" w:end="0"/>
        <w:jc w:val="both"/>
        <w:rPr/>
      </w:pPr>
      <w:r>
        <w:rPr>
          <w:b/>
        </w:rPr>
        <w:t>Assembly:</w:t>
      </w:r>
      <w:r>
        <w:rPr/>
        <w:tab/>
        <w:t>The assembly area would be a secure area, which would pull standardized documents into a deal-room in one of the ways described below.  It would be the place where a subscriber could create the first draft of a schedule to an ISDA Master Agreement or an ISDA Credit Support Annex.</w:t>
      </w:r>
    </w:p>
    <w:p>
      <w:pPr>
        <w:pStyle w:val="BodyText"/>
        <w:ind w:start="2211" w:end="0"/>
        <w:jc w:val="both"/>
        <w:rPr/>
      </w:pPr>
      <w:r>
        <w:rPr/>
        <w:t>There would be two methods available for creating documents:</w:t>
      </w:r>
    </w:p>
    <w:p>
      <w:pPr>
        <w:pStyle w:val="BodyText"/>
        <w:numPr>
          <w:ilvl w:val="0"/>
          <w:numId w:val="3"/>
        </w:numPr>
        <w:tabs>
          <w:tab w:val="clear" w:pos="737"/>
          <w:tab w:val="left" w:pos="2948" w:leader="none"/>
        </w:tabs>
        <w:ind w:hanging="737" w:start="2948" w:end="0"/>
        <w:jc w:val="both"/>
        <w:rPr/>
      </w:pPr>
      <w:r>
        <w:rPr>
          <w:b/>
        </w:rPr>
        <w:t>Blank schedule</w:t>
      </w:r>
      <w:r>
        <w:rPr/>
        <w:t>.  A “blank” schedule in Word format which could be customized by the subscriber.  There would be a feature which enabled a subscriber to insert footnotes containing commentary to assist those preparing the first draft.  Once the draft was completed all footnotes would be removed by pressing a single key.</w:t>
      </w:r>
    </w:p>
    <w:p>
      <w:pPr>
        <w:pStyle w:val="BodyText"/>
        <w:numPr>
          <w:ilvl w:val="0"/>
          <w:numId w:val="3"/>
        </w:numPr>
        <w:tabs>
          <w:tab w:val="clear" w:pos="737"/>
          <w:tab w:val="left" w:pos="2948" w:leader="none"/>
        </w:tabs>
        <w:ind w:hanging="737" w:start="2948" w:end="0"/>
        <w:jc w:val="both"/>
        <w:rPr/>
      </w:pPr>
      <w:r>
        <w:rPr>
          <w:b/>
        </w:rPr>
        <w:t>Wizard</w:t>
      </w:r>
      <w:r>
        <w:rPr/>
        <w:t>.  A wizard which operates by asking a series of questions which the operator answers usually by selecting one of a number of predetermined options.  The document is automatically generated once all questions are answered.</w:t>
      </w:r>
    </w:p>
    <w:p>
      <w:pPr>
        <w:pStyle w:val="BodyText"/>
        <w:ind w:start="2948" w:end="0"/>
        <w:jc w:val="both"/>
        <w:rPr/>
      </w:pPr>
      <w:r>
        <w:rPr/>
        <w:t>This wizard approach enables ISDA to promote more standardisation in the market.  For example, the wizard will contain certain ISDA recommended approaches on issues such as early breaks and payment deferrals.  This option could assist by discouraging the wide variety of these clauses currently being used in the market, which tend to slow negotiations.</w:t>
      </w:r>
    </w:p>
    <w:p>
      <w:pPr>
        <w:pStyle w:val="Indent1"/>
        <w:ind w:start="2211" w:end="0"/>
        <w:jc w:val="both"/>
        <w:rPr/>
      </w:pPr>
      <w:r>
        <w:rPr/>
        <w:t>The Assembly section of the site will also contain a number of items to aid the drafter:</w:t>
      </w:r>
    </w:p>
    <w:p>
      <w:pPr>
        <w:pStyle w:val="BodyText"/>
        <w:numPr>
          <w:ilvl w:val="0"/>
          <w:numId w:val="3"/>
        </w:numPr>
        <w:tabs>
          <w:tab w:val="clear" w:pos="737"/>
          <w:tab w:val="left" w:pos="2948" w:leader="none"/>
        </w:tabs>
        <w:ind w:hanging="737" w:start="2948" w:end="0"/>
        <w:jc w:val="both"/>
        <w:rPr/>
      </w:pPr>
      <w:r>
        <w:rPr/>
        <w:t>A workflow checklist.  The published facility will contain a generic checklist setting out steps required to obtain internal approval to send a first draft of a document to a counterparty.  It will be possible for subscribers to customise this checklist to suit their particular procedures</w:t>
      </w:r>
    </w:p>
    <w:p>
      <w:pPr>
        <w:pStyle w:val="BodyText"/>
        <w:numPr>
          <w:ilvl w:val="0"/>
          <w:numId w:val="3"/>
        </w:numPr>
        <w:tabs>
          <w:tab w:val="clear" w:pos="737"/>
          <w:tab w:val="left" w:pos="2948" w:leader="none"/>
        </w:tabs>
        <w:ind w:hanging="737" w:start="2948" w:end="0"/>
        <w:jc w:val="both"/>
        <w:rPr/>
      </w:pPr>
      <w:r>
        <w:rPr/>
        <w:t>Electronic copies of all published ISDA documents and commentaries.  These would be in the format described in item 1 on page 1 of the 27 July 2000 RFP.</w:t>
      </w:r>
    </w:p>
    <w:p>
      <w:pPr>
        <w:pStyle w:val="Indent1"/>
        <w:ind w:hanging="1474" w:start="2211" w:end="0"/>
        <w:jc w:val="both"/>
        <w:rPr/>
      </w:pPr>
      <w:r>
        <w:rPr>
          <w:b/>
        </w:rPr>
        <w:t>Negotiation:</w:t>
      </w:r>
      <w:r>
        <w:rPr/>
        <w:tab/>
        <w:t>Once a subscriber completes the drafting of a document, the subscriber would provide access to the counterparty. The counterparty could then download the document and edit it.  Once edited the counterparty could post it back onto the site.  The subscriber could then access the latest version and similarly edit it. There could be one or more individuals representing the counterparty and one or more counterparties (law-firms, member firms and so on) in the negotiation process.</w:t>
      </w:r>
    </w:p>
    <w:p>
      <w:pPr>
        <w:pStyle w:val="Indent1"/>
        <w:ind w:start="2211" w:end="0"/>
        <w:jc w:val="both"/>
        <w:rPr/>
      </w:pPr>
      <w:r>
        <w:rPr/>
        <w:t>This process may continue as many times as necessary until the parties have agreed the final form of the document.</w:t>
      </w:r>
    </w:p>
    <w:p>
      <w:pPr>
        <w:pStyle w:val="Indent1"/>
        <w:ind w:start="2211" w:end="0"/>
        <w:jc w:val="both"/>
        <w:rPr/>
      </w:pPr>
      <w:r>
        <w:rPr/>
        <w:t>A particularly useful feature of the site is that each party may post not only the document itself but also supporting correspondence.  Thus a complete “history” of the negotiation can be kept on the site.</w:t>
      </w:r>
    </w:p>
    <w:p>
      <w:pPr>
        <w:pStyle w:val="Indent1"/>
        <w:ind w:start="2211" w:end="0"/>
        <w:jc w:val="both"/>
        <w:rPr/>
      </w:pPr>
      <w:r>
        <w:rPr/>
        <w:t>The subscriber and the counterparty may also create a comment sheet to aid in the negotiation process.</w:t>
      </w:r>
    </w:p>
    <w:p>
      <w:pPr>
        <w:pStyle w:val="Indent1"/>
        <w:ind w:start="2211" w:end="0"/>
        <w:jc w:val="both"/>
        <w:rPr/>
      </w:pPr>
      <w:r>
        <w:rPr/>
        <w:t>Once the negotiations are complete the complete “deal folder” of the negotiations can be stored with the executed document in the Storage section of the site.</w:t>
      </w:r>
    </w:p>
    <w:p>
      <w:pPr>
        <w:pStyle w:val="Indent1"/>
        <w:ind w:hanging="1474" w:start="2211" w:end="0"/>
        <w:jc w:val="both"/>
        <w:rPr/>
      </w:pPr>
      <w:r>
        <w:rPr>
          <w:b/>
        </w:rPr>
        <w:t>Execution:</w:t>
      </w:r>
      <w:r>
        <w:rPr/>
        <w:tab/>
        <w:t>Once the terms of the document are agreed and subject to the legal framework governing the parties, the parties will be able to execute it electronically in the closing room.</w:t>
      </w:r>
    </w:p>
    <w:p>
      <w:pPr>
        <w:pStyle w:val="Indent1"/>
        <w:ind w:start="2211" w:end="0"/>
        <w:jc w:val="both"/>
        <w:rPr/>
      </w:pPr>
      <w:r>
        <w:rPr/>
        <w:t>In order to do this they will need to specify</w:t>
      </w:r>
    </w:p>
    <w:p>
      <w:pPr>
        <w:pStyle w:val="Indent1"/>
        <w:numPr>
          <w:ilvl w:val="0"/>
          <w:numId w:val="2"/>
        </w:numPr>
        <w:jc w:val="both"/>
        <w:rPr/>
      </w:pPr>
      <w:r>
        <w:rPr/>
        <w:t>the signatories and confirm they are authorized</w:t>
      </w:r>
    </w:p>
    <w:p>
      <w:pPr>
        <w:pStyle w:val="Indent1"/>
        <w:numPr>
          <w:ilvl w:val="0"/>
          <w:numId w:val="2"/>
        </w:numPr>
        <w:jc w:val="both"/>
        <w:rPr/>
      </w:pPr>
      <w:r>
        <w:rPr/>
        <w:t>the signature lines</w:t>
      </w:r>
    </w:p>
    <w:p>
      <w:pPr>
        <w:pStyle w:val="Indent1"/>
        <w:numPr>
          <w:ilvl w:val="0"/>
          <w:numId w:val="2"/>
        </w:numPr>
        <w:jc w:val="both"/>
        <w:rPr/>
      </w:pPr>
      <w:r>
        <w:rPr/>
        <w:t>who are authorised to access the signed document in the future</w:t>
      </w:r>
    </w:p>
    <w:p>
      <w:pPr>
        <w:pStyle w:val="Indent1"/>
        <w:ind w:start="2211" w:end="0"/>
        <w:jc w:val="both"/>
        <w:rPr/>
      </w:pPr>
      <w:r>
        <w:rPr/>
        <w:t xml:space="preserve">Evidence of execution will be maintained through an execution record which will provide details of signature line, date, time and username of individuals clicking on the document. It is envisaged that technology such as digital execution would be available.    </w:t>
      </w:r>
    </w:p>
    <w:p>
      <w:pPr>
        <w:pStyle w:val="BodyText"/>
        <w:ind w:hanging="1474" w:start="2211" w:end="0"/>
        <w:jc w:val="both"/>
        <w:rPr/>
      </w:pPr>
      <w:r>
        <w:rPr>
          <w:b/>
        </w:rPr>
        <w:t>Storage:</w:t>
      </w:r>
      <w:r>
        <w:rPr/>
        <w:tab/>
        <w:t>The executed version of the document and its folder of negotiations can then be stored on the storage part of the site.  This will be a secure facility accessible only to the subscriber and the counterparty. Access to a document would be available to signatories.  However no one will be able to modify or change the documents, correspondence or the execution record. There would also be a facility to allow a subscriber to search for all agreements they have signed and stored.</w:t>
      </w:r>
    </w:p>
    <w:p>
      <w:pPr>
        <w:pStyle w:val="Heading1"/>
        <w:numPr>
          <w:ilvl w:val="0"/>
          <w:numId w:val="0"/>
        </w:numPr>
        <w:ind w:hanging="0" w:start="2211" w:end="0"/>
        <w:jc w:val="both"/>
        <w:rPr>
          <w:rFonts w:ascii="Times New Roman" w:hAnsi="Times New Roman" w:cs="Times New Roman"/>
          <w:b w:val="false"/>
          <w:sz w:val="23"/>
        </w:rPr>
      </w:pPr>
      <w:r>
        <w:rPr>
          <w:rFonts w:cs="Times New Roman" w:ascii="Times New Roman" w:hAnsi="Times New Roman"/>
          <w:b w:val="false"/>
          <w:sz w:val="23"/>
        </w:rPr>
        <w:t>If a party did not want to execute a document electronically there would be the alternative of loading a pdf copy of the physically executed contract onto the storage part of the site.</w:t>
      </w:r>
    </w:p>
    <w:p>
      <w:pPr>
        <w:pStyle w:val="Heading1"/>
        <w:spacing w:before="120" w:after="240"/>
        <w:ind w:hanging="0" w:start="0"/>
        <w:jc w:val="both"/>
        <w:rPr>
          <w:rFonts w:ascii="Times New Roman" w:hAnsi="Times New Roman" w:cs="Times New Roman"/>
        </w:rPr>
      </w:pPr>
      <w:r>
        <w:rPr>
          <w:rFonts w:cs="Times New Roman" w:ascii="Times New Roman" w:hAnsi="Times New Roman"/>
        </w:rPr>
        <w:t>Timeline</w:t>
      </w:r>
    </w:p>
    <w:p>
      <w:pPr>
        <w:pStyle w:val="Indent2"/>
        <w:jc w:val="both"/>
        <w:rPr>
          <w:sz w:val="24"/>
        </w:rPr>
      </w:pPr>
      <w:r>
        <w:rPr/>
        <w:t>During the next four to six months, we would see the following processes occurring.</w:t>
      </w:r>
    </w:p>
    <w:p>
      <w:pPr>
        <w:pStyle w:val="Indent2"/>
        <w:ind w:start="734" w:end="0"/>
        <w:jc w:val="both"/>
        <w:rPr>
          <w:b/>
        </w:rPr>
      </w:pPr>
      <w:r>
        <w:rPr>
          <w:b/>
        </w:rPr>
        <w:t>First 30-60 days: Clarification of Site Specifications and Economic Terms</w:t>
      </w:r>
    </w:p>
    <w:p>
      <w:pPr>
        <w:pStyle w:val="Indent2"/>
        <w:numPr>
          <w:ilvl w:val="0"/>
          <w:numId w:val="6"/>
        </w:numPr>
        <w:tabs>
          <w:tab w:val="clear" w:pos="737"/>
          <w:tab w:val="left" w:pos="1474" w:leader="none"/>
        </w:tabs>
        <w:ind w:hanging="737" w:start="1474" w:end="0"/>
        <w:jc w:val="both"/>
        <w:rPr/>
      </w:pPr>
      <w:r>
        <w:rPr/>
        <w:t xml:space="preserve">The specification for the document assembly section of the site. (eg. 1. Will part 5 of the Schedule be a blank space or contain a menu of recommended clauses? If the latter, the process for agreeing the wording of optional additional clauses will need to be developed.   2. Will part 2 of the Schedule be provided in the form it appears in the printed ISDA Master Agreement or will a global tax matrix be developed to assist users to select the correct payee tax representations?).  </w:t>
      </w:r>
    </w:p>
    <w:p>
      <w:pPr>
        <w:pStyle w:val="Indent2"/>
        <w:ind w:start="1474" w:end="0"/>
        <w:jc w:val="both"/>
        <w:rPr/>
      </w:pPr>
      <w:r>
        <w:rPr/>
        <w:t>The experience of the consortium members is that much of the delay in completing Schedules arises from the wide variety of approaches from different participants on essentially the same issues.  The consortium believes that during the specification period a clear decision needs to be taken on whether ISDA intends that the facility should be used as a tool to drive more efficiency in the market by promoting “standardisation” of optional additional clauses.  The consortium envisages that this aspect of the process will necessitate consultation with ISDA’s external counsel in a number of jurisdictions (the consortium proposes that ISDA would nominate these counsel) as well as a number of market participants.</w:t>
      </w:r>
    </w:p>
    <w:p>
      <w:pPr>
        <w:pStyle w:val="Indent2"/>
        <w:numPr>
          <w:ilvl w:val="0"/>
          <w:numId w:val="6"/>
        </w:numPr>
        <w:tabs>
          <w:tab w:val="clear" w:pos="737"/>
          <w:tab w:val="left" w:pos="1474" w:leader="none"/>
        </w:tabs>
        <w:ind w:hanging="737" w:start="1474" w:end="0"/>
        <w:jc w:val="both"/>
        <w:rPr/>
      </w:pPr>
      <w:r>
        <w:rPr/>
        <w:t>The precise approach ISDA proposes to adopt in making electronic copies of its documents available (eg PDF or HTML, electronic linkage, pricing, payment methods) and whether the facility also should have electronic versions of ISDA documents available.</w:t>
      </w:r>
    </w:p>
    <w:p>
      <w:pPr>
        <w:pStyle w:val="Indent2"/>
        <w:numPr>
          <w:ilvl w:val="0"/>
          <w:numId w:val="6"/>
        </w:numPr>
        <w:tabs>
          <w:tab w:val="clear" w:pos="737"/>
          <w:tab w:val="left" w:pos="1474" w:leader="none"/>
        </w:tabs>
        <w:ind w:hanging="737" w:start="1474" w:end="0"/>
        <w:jc w:val="both"/>
        <w:rPr/>
      </w:pPr>
      <w:r>
        <w:rPr/>
        <w:t>The market for the facility.  The consortium believes that the majority of market participants will welcome a document management system along the lines proposed.  However, detailed market analysis is required to identify the potential market and possible pricing models.</w:t>
      </w:r>
    </w:p>
    <w:p>
      <w:pPr>
        <w:pStyle w:val="Indent2"/>
        <w:numPr>
          <w:ilvl w:val="0"/>
          <w:numId w:val="6"/>
        </w:numPr>
        <w:tabs>
          <w:tab w:val="clear" w:pos="737"/>
          <w:tab w:val="left" w:pos="1474" w:leader="none"/>
        </w:tabs>
        <w:ind w:hanging="737" w:start="1474" w:end="0"/>
        <w:jc w:val="both"/>
        <w:rPr/>
      </w:pPr>
      <w:r>
        <w:rPr/>
        <w:t>ISDA’s intentions about the functionality required for electronic execution of documents.  The consortium believes that careful specification of the process, eg via digital certificates, is needed in order to clarify the required structure and costing of the facility in this respect.</w:t>
      </w:r>
    </w:p>
    <w:p>
      <w:pPr>
        <w:pStyle w:val="Indent2"/>
        <w:numPr>
          <w:ilvl w:val="0"/>
          <w:numId w:val="6"/>
        </w:numPr>
        <w:tabs>
          <w:tab w:val="clear" w:pos="737"/>
          <w:tab w:val="left" w:pos="1474" w:leader="none"/>
        </w:tabs>
        <w:ind w:hanging="737" w:start="1474" w:end="0"/>
        <w:jc w:val="both"/>
        <w:rPr/>
      </w:pPr>
      <w:r>
        <w:rPr/>
        <w:t>The extent to which the facility should seek to be consistent with the approach being used by the FpML group (or any other group which ISDA identifies as producing market standard language for electronic communications between market participants).</w:t>
      </w:r>
    </w:p>
    <w:p>
      <w:pPr>
        <w:pStyle w:val="Indent2"/>
        <w:numPr>
          <w:ilvl w:val="0"/>
          <w:numId w:val="6"/>
        </w:numPr>
        <w:tabs>
          <w:tab w:val="clear" w:pos="737"/>
          <w:tab w:val="left" w:pos="1474" w:leader="none"/>
        </w:tabs>
        <w:ind w:hanging="737" w:start="1474" w:end="0"/>
        <w:jc w:val="both"/>
        <w:rPr/>
      </w:pPr>
      <w:r>
        <w:rPr/>
        <w:t>The general overall specifications for the facility and the business model.</w:t>
      </w:r>
    </w:p>
    <w:p>
      <w:pPr>
        <w:pStyle w:val="Indent2"/>
        <w:ind w:start="734" w:end="0"/>
        <w:jc w:val="both"/>
        <w:rPr>
          <w:b/>
        </w:rPr>
      </w:pPr>
      <w:r>
        <w:rPr>
          <w:b/>
        </w:rPr>
        <w:t>Following 90 to 120 days:  Platform Development by Consortium</w:t>
      </w:r>
    </w:p>
    <w:p>
      <w:pPr>
        <w:pStyle w:val="Heading2"/>
        <w:numPr>
          <w:ilvl w:val="0"/>
          <w:numId w:val="4"/>
        </w:numPr>
        <w:tabs>
          <w:tab w:val="clear" w:pos="737"/>
          <w:tab w:val="left" w:pos="1440" w:leader="none"/>
        </w:tabs>
        <w:ind w:hanging="703" w:start="1440" w:end="0"/>
        <w:jc w:val="both"/>
        <w:rPr/>
      </w:pPr>
      <w:r>
        <w:rPr/>
        <w:t>ISDA will be expected to provide feedback regarding Beta versions of the requested customization as needed</w:t>
      </w:r>
    </w:p>
    <w:p>
      <w:pPr>
        <w:pStyle w:val="Heading2"/>
        <w:numPr>
          <w:ilvl w:val="0"/>
          <w:numId w:val="4"/>
        </w:numPr>
        <w:tabs>
          <w:tab w:val="clear" w:pos="737"/>
          <w:tab w:val="left" w:pos="1440" w:leader="none"/>
        </w:tabs>
        <w:ind w:hanging="703" w:start="1440" w:end="0"/>
        <w:jc w:val="both"/>
        <w:rPr/>
      </w:pPr>
      <w:r>
        <w:rPr/>
        <w:t>Exact timing dependent upon the level of expected customization required</w:t>
      </w:r>
    </w:p>
    <w:p>
      <w:pPr>
        <w:pStyle w:val="Heading1"/>
        <w:spacing w:before="120" w:after="240"/>
        <w:ind w:hanging="0" w:start="0"/>
        <w:jc w:val="both"/>
        <w:rPr>
          <w:rFonts w:ascii="Times New Roman" w:hAnsi="Times New Roman" w:cs="Times New Roman"/>
        </w:rPr>
      </w:pPr>
      <w:r>
        <w:rPr>
          <w:rFonts w:cs="Times New Roman" w:ascii="Times New Roman" w:hAnsi="Times New Roman"/>
        </w:rPr>
        <w:t>Economics</w:t>
      </w:r>
    </w:p>
    <w:p>
      <w:pPr>
        <w:pStyle w:val="Heading2"/>
        <w:numPr>
          <w:ilvl w:val="0"/>
          <w:numId w:val="0"/>
        </w:numPr>
        <w:spacing w:before="0" w:after="0"/>
        <w:ind w:firstLine="14" w:start="720" w:end="0"/>
        <w:jc w:val="both"/>
        <w:rPr>
          <w:b/>
        </w:rPr>
      </w:pPr>
      <w:r>
        <w:rPr>
          <w:b/>
        </w:rPr>
        <w:t>Overview</w:t>
      </w:r>
    </w:p>
    <w:p>
      <w:pPr>
        <w:pStyle w:val="Heading2"/>
        <w:numPr>
          <w:ilvl w:val="0"/>
          <w:numId w:val="0"/>
        </w:numPr>
        <w:ind w:firstLine="17" w:start="720" w:end="0"/>
        <w:jc w:val="both"/>
        <w:rPr/>
      </w:pPr>
      <w:r>
        <w:rPr/>
        <w:t>The consortium proposal calls for the DealBench platform to be modified and customized to accommodate the needs of the ISDA’s membership.  As such, there will be no initial payment necessary by ISDA.  ISDA will realize economic value from the payment of certain royalties by the Consortium based upon the number of users that license the platform for negotiation of ISDA master agreements and related documentation.  Benefits of this approach include:</w:t>
      </w:r>
    </w:p>
    <w:p>
      <w:pPr>
        <w:pStyle w:val="Heading2"/>
        <w:numPr>
          <w:ilvl w:val="0"/>
          <w:numId w:val="7"/>
        </w:numPr>
        <w:tabs>
          <w:tab w:val="clear" w:pos="737"/>
          <w:tab w:val="left" w:pos="1097" w:leader="none"/>
        </w:tabs>
        <w:spacing w:before="0" w:after="0"/>
        <w:ind w:hanging="360" w:start="1094" w:end="0"/>
        <w:jc w:val="both"/>
        <w:rPr/>
      </w:pPr>
      <w:r>
        <w:rPr>
          <w:b/>
        </w:rPr>
        <w:t>Reduced upfront cost:</w:t>
      </w:r>
      <w:r>
        <w:rPr/>
        <w:t xml:space="preserve"> upfront development cost to ISDA minimized by utilizing existing platform.</w:t>
      </w:r>
    </w:p>
    <w:p>
      <w:pPr>
        <w:pStyle w:val="Heading2"/>
        <w:numPr>
          <w:ilvl w:val="0"/>
          <w:numId w:val="7"/>
        </w:numPr>
        <w:tabs>
          <w:tab w:val="clear" w:pos="737"/>
          <w:tab w:val="left" w:pos="1097" w:leader="none"/>
        </w:tabs>
        <w:spacing w:before="0" w:after="0"/>
        <w:ind w:hanging="360" w:start="1094" w:end="0"/>
        <w:jc w:val="both"/>
        <w:rPr/>
      </w:pPr>
      <w:r>
        <w:rPr>
          <w:b/>
        </w:rPr>
        <w:t>Speed to market:</w:t>
      </w:r>
      <w:r>
        <w:rPr/>
        <w:t xml:space="preserve"> a functional ISDA document negotiation platform can be expected in approximately five months time.</w:t>
      </w:r>
    </w:p>
    <w:p>
      <w:pPr>
        <w:pStyle w:val="Heading2"/>
        <w:numPr>
          <w:ilvl w:val="0"/>
          <w:numId w:val="7"/>
        </w:numPr>
        <w:tabs>
          <w:tab w:val="clear" w:pos="737"/>
          <w:tab w:val="left" w:pos="1097" w:leader="none"/>
        </w:tabs>
        <w:spacing w:before="0" w:after="0"/>
        <w:ind w:hanging="360" w:start="1094" w:end="0"/>
        <w:jc w:val="both"/>
        <w:rPr/>
      </w:pPr>
      <w:r>
        <w:rPr>
          <w:b/>
        </w:rPr>
        <w:t>Elimination of maintenance cost</w:t>
      </w:r>
      <w:r>
        <w:rPr/>
        <w:t>:  the consortium will pay the ongoing site hosting expenses and thereby protecting ISDA from this unspecified and ongoing liability.</w:t>
      </w:r>
    </w:p>
    <w:p>
      <w:pPr>
        <w:pStyle w:val="Heading2"/>
        <w:numPr>
          <w:ilvl w:val="0"/>
          <w:numId w:val="0"/>
        </w:numPr>
        <w:spacing w:before="0" w:after="0"/>
        <w:ind w:hanging="0" w:start="734" w:end="0"/>
        <w:jc w:val="both"/>
        <w:rPr/>
      </w:pPr>
      <w:r>
        <w:rPr/>
      </w:r>
    </w:p>
    <w:p>
      <w:pPr>
        <w:pStyle w:val="Heading2"/>
        <w:numPr>
          <w:ilvl w:val="0"/>
          <w:numId w:val="0"/>
        </w:numPr>
        <w:spacing w:before="0" w:after="0"/>
        <w:ind w:firstLine="14" w:start="720" w:end="0"/>
        <w:jc w:val="both"/>
        <w:rPr>
          <w:b/>
        </w:rPr>
      </w:pPr>
      <w:r>
        <w:rPr>
          <w:b/>
        </w:rPr>
        <w:t>Royalty Payments to ISDA</w:t>
      </w:r>
    </w:p>
    <w:p>
      <w:pPr>
        <w:pStyle w:val="Heading2"/>
        <w:numPr>
          <w:ilvl w:val="0"/>
          <w:numId w:val="0"/>
        </w:numPr>
        <w:ind w:firstLine="17" w:start="720" w:end="0"/>
        <w:jc w:val="both"/>
        <w:rPr/>
      </w:pPr>
      <w:r>
        <w:rPr/>
        <w:t>Royalty payments (in an amount to be determined) will be paid to ISDA based upon license revenues paid by users of the ISDA-related part of the DealBench platform.</w:t>
      </w:r>
    </w:p>
    <w:p>
      <w:pPr>
        <w:pStyle w:val="Heading1"/>
        <w:spacing w:before="120" w:after="240"/>
        <w:ind w:hanging="0" w:start="0"/>
        <w:jc w:val="both"/>
        <w:rPr>
          <w:rFonts w:ascii="Times New Roman" w:hAnsi="Times New Roman" w:cs="Times New Roman"/>
        </w:rPr>
      </w:pPr>
      <w:r>
        <w:rPr>
          <w:rFonts w:cs="Times New Roman" w:ascii="Times New Roman" w:hAnsi="Times New Roman"/>
        </w:rPr>
        <w:t>About the consortium members</w:t>
      </w:r>
    </w:p>
    <w:p>
      <w:pPr>
        <w:pStyle w:val="BodyText"/>
        <w:ind w:start="737" w:end="0"/>
        <w:jc w:val="both"/>
        <w:rPr>
          <w:b/>
          <w:sz w:val="28"/>
          <w:u w:val="single"/>
        </w:rPr>
      </w:pPr>
      <w:r>
        <w:rPr>
          <w:b/>
          <w:sz w:val="28"/>
          <w:u w:val="single"/>
        </w:rPr>
        <w:t>Enron Corp.</w:t>
      </w:r>
    </w:p>
    <w:p>
      <w:pPr>
        <w:pStyle w:val="BodyText"/>
        <w:spacing w:before="0" w:after="0"/>
        <w:ind w:start="734" w:end="0"/>
        <w:jc w:val="both"/>
        <w:rPr>
          <w:b/>
          <w:lang w:val="en-CA" w:eastAsia="en-CA"/>
        </w:rPr>
      </w:pPr>
      <w:r>
        <w:rPr>
          <w:b/>
        </w:rPr>
        <w:t>Overview</w:t>
      </w:r>
    </w:p>
    <w:p>
      <w:pPr>
        <w:pStyle w:val="BodyText"/>
        <w:ind w:start="737" w:end="0"/>
        <w:jc w:val="both"/>
        <w:rPr/>
      </w:pPr>
      <w:r>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Fortune magazine has named Enron “America's Most Innovative Company” for five consecutive years, the top company for “Quality of Management” and the second best company for “Employee Talent”.  In addition, Enron ranks in the top quarter of Fortune's “Best 100 Companies to Work For in America”.  Enron's Internet address is </w:t>
      </w:r>
      <w:hyperlink r:id="rId6">
        <w:r>
          <w:rPr>
            <w:rStyle w:val="Hyperlink"/>
          </w:rPr>
          <w:t>www.enron.com</w:t>
        </w:r>
      </w:hyperlink>
      <w:r>
        <w:rPr/>
        <w:t xml:space="preserve"> and the stock is traded on the New York Stock Exchange under the ticker symbol “ENE”.</w:t>
      </w:r>
    </w:p>
    <w:p>
      <w:pPr>
        <w:pStyle w:val="BodyText"/>
        <w:spacing w:before="0" w:after="0"/>
        <w:ind w:start="734" w:end="0"/>
        <w:jc w:val="both"/>
        <w:rPr>
          <w:b/>
        </w:rPr>
      </w:pPr>
      <w:r>
        <w:rPr>
          <w:b/>
        </w:rPr>
      </w:r>
    </w:p>
    <w:p>
      <w:pPr>
        <w:pStyle w:val="BodyText"/>
        <w:spacing w:before="0" w:after="0"/>
        <w:ind w:start="734" w:end="0"/>
        <w:jc w:val="both"/>
        <w:rPr>
          <w:b/>
          <w:lang w:val="en-CA" w:eastAsia="en-CA"/>
        </w:rPr>
      </w:pPr>
      <w:r>
        <w:rPr>
          <w:b/>
        </w:rPr>
        <w:t>Enron Net Works</w:t>
      </w:r>
    </w:p>
    <w:p>
      <w:pPr>
        <w:pStyle w:val="BodyText"/>
        <w:ind w:hanging="720" w:start="720" w:end="0"/>
        <w:jc w:val="both"/>
        <w:rPr/>
      </w:pPr>
      <w:r>
        <w:rPr/>
        <w:tab/>
        <w:t>Enron Net Works is one of Enron Corp.’s five business subsidiaries and is engaged in the development of online business platforms.  The subsidiary currently works on nine eCommerce initiatives, including EnronOnline, a platform that has become the world’s largest eCommerce site as measured by revenues (over US$135 billion during the nine month period ending 31 August 2000.</w:t>
      </w:r>
    </w:p>
    <w:p>
      <w:pPr>
        <w:pStyle w:val="BodyText"/>
        <w:spacing w:before="0" w:after="0"/>
        <w:ind w:start="734" w:end="0"/>
        <w:jc w:val="both"/>
        <w:rPr>
          <w:b/>
          <w:lang w:val="en-CA" w:eastAsia="en-CA"/>
        </w:rPr>
      </w:pPr>
      <w:r>
        <w:rPr>
          <w:b/>
        </w:rPr>
        <w:t>DealBench</w:t>
      </w:r>
    </w:p>
    <w:p>
      <w:pPr>
        <w:pStyle w:val="BodyText"/>
        <w:ind w:hanging="720" w:start="720" w:end="0"/>
        <w:jc w:val="both"/>
        <w:rPr/>
      </w:pPr>
      <w:r>
        <w:rPr/>
        <w:tab/>
        <w:t>One of Enron Net Work’s nine eCommerce initiatives, DealBench was launched in March 2000 and since then has conducted approximately twenty transactions with an aggregate value of almost US$4 billion.  The collaborative web platform tools include document uploading features, collect indications of interest and streaming video on demand.</w:t>
      </w:r>
    </w:p>
    <w:p>
      <w:pPr>
        <w:pStyle w:val="BodyText"/>
        <w:ind w:start="737" w:end="0"/>
        <w:jc w:val="both"/>
        <w:rPr>
          <w:b/>
          <w:sz w:val="28"/>
          <w:u w:val="single"/>
        </w:rPr>
      </w:pPr>
      <w:r>
        <w:rPr>
          <w:b/>
          <w:sz w:val="28"/>
          <w:u w:val="single"/>
        </w:rPr>
        <w:t>Mallesons Stephen Jaques</w:t>
      </w:r>
    </w:p>
    <w:p>
      <w:pPr>
        <w:pStyle w:val="BodyText"/>
        <w:spacing w:before="0" w:after="0"/>
        <w:ind w:start="734" w:end="0"/>
        <w:jc w:val="both"/>
        <w:rPr>
          <w:b/>
          <w:lang w:val="en-CA" w:eastAsia="en-CA"/>
        </w:rPr>
      </w:pPr>
      <w:r>
        <w:rPr>
          <w:b/>
        </w:rPr>
        <w:t>Overview</w:t>
      </w:r>
    </w:p>
    <w:p>
      <w:pPr>
        <w:pStyle w:val="BodyText"/>
        <w:ind w:start="737" w:end="0"/>
        <w:jc w:val="both"/>
        <w:rPr/>
      </w:pPr>
      <w:r>
        <w:rPr/>
        <w:t>Mallesons Stephen Jaques is an international commercial law firm.  In size it is the largest single legal partnership based outside the USA and England.  (It has 193 partners and a total of about 900 lawyers.)  It has well established offices in the major Australian cities, London, Hong Kong and Beijing; and affiliated offices in Taipei, Jakarta and Port Moresby.</w:t>
      </w:r>
    </w:p>
    <w:p>
      <w:pPr>
        <w:pStyle w:val="BodyText"/>
        <w:spacing w:before="0" w:after="0"/>
        <w:ind w:start="734" w:end="0"/>
        <w:jc w:val="both"/>
        <w:rPr>
          <w:b/>
          <w:lang w:val="en-CA" w:eastAsia="en-CA"/>
        </w:rPr>
      </w:pPr>
      <w:r>
        <w:rPr>
          <w:b/>
        </w:rPr>
        <w:t>MSJ’s derivatives practice</w:t>
      </w:r>
    </w:p>
    <w:p>
      <w:pPr>
        <w:pStyle w:val="BodyText"/>
        <w:ind w:start="737" w:end="0"/>
        <w:jc w:val="both"/>
        <w:rPr/>
      </w:pPr>
      <w:r>
        <w:rPr>
          <w:lang w:val="en-CA" w:eastAsia="en-CA"/>
        </w:rPr>
        <w:t>MSJ’s</w:t>
      </w:r>
      <w:r>
        <w:rPr/>
        <w:t xml:space="preserve"> derivatives practice is headed by two of the leading lawyers in the field - Ted Kerr and Martin James.</w:t>
      </w:r>
    </w:p>
    <w:p>
      <w:pPr>
        <w:pStyle w:val="BodyText"/>
        <w:ind w:start="737" w:end="0"/>
        <w:jc w:val="both"/>
        <w:rPr/>
      </w:pPr>
      <w:r>
        <w:rPr/>
        <w:t>Ted Kerr is the author of the Guide to OTC Documents published by Australian Financial Markets Association (AFMA).  He is the legal adviser to AFMA’s documentation committee as well as being ISDA’s legal counsel in Australia.  In conjunction with this Ted Kerr advises many institutions on issues relating to derivatives, preparation of documents for a wide range of derivatives and on regulatory and netting issues.  He was one of a five member advisory group which advised the Australian Government on the preparation of the Payments System and Netting Act.  The 2000-2001 edition of Chambers Global “The World’s Leading Lawyers” states that</w:t>
      </w:r>
    </w:p>
    <w:p>
      <w:pPr>
        <w:pStyle w:val="BodyText"/>
        <w:ind w:start="1474" w:end="0"/>
        <w:jc w:val="both"/>
        <w:rPr/>
      </w:pPr>
      <w:r>
        <w:rPr/>
        <w:t>“</w:t>
      </w:r>
      <w:r>
        <w:rPr/>
        <w:t xml:space="preserve">Sydney-based ISDA counsel </w:t>
      </w:r>
      <w:r>
        <w:rPr>
          <w:b/>
        </w:rPr>
        <w:t>Ted Kerr</w:t>
      </w:r>
      <w:r>
        <w:rPr/>
        <w:t xml:space="preserve"> is recognised as </w:t>
      </w:r>
      <w:r>
        <w:rPr>
          <w:i/>
        </w:rPr>
        <w:t>“the leader”</w:t>
      </w:r>
      <w:r>
        <w:rPr/>
        <w:t xml:space="preserve"> in Australian derivatives work.”</w:t>
      </w:r>
    </w:p>
    <w:p>
      <w:pPr>
        <w:pStyle w:val="BodyText"/>
        <w:ind w:start="737" w:end="0"/>
        <w:jc w:val="both"/>
        <w:rPr/>
      </w:pPr>
      <w:r>
        <w:rPr/>
        <w:t>Martin James, among other specialist areas, advises on derivatives, commodity financings, financial engineering and risk management products (including the recently established OTC market for electricity derivatives in Australia).  He prepared the ISDA based electricity derivatives documentation for the Australian market and has been recognised in a number of international publications as a leading lawyer in project finance, infrastructure finance and energy and resources.</w:t>
      </w:r>
    </w:p>
    <w:p>
      <w:pPr>
        <w:pStyle w:val="BodyText"/>
        <w:spacing w:before="0" w:after="0"/>
        <w:ind w:start="734" w:end="0"/>
        <w:jc w:val="both"/>
        <w:rPr>
          <w:b/>
          <w:lang w:val="en-CA" w:eastAsia="en-CA"/>
        </w:rPr>
      </w:pPr>
      <w:r>
        <w:rPr>
          <w:b/>
        </w:rPr>
        <w:t>MSJ’s e-commerce practice</w:t>
      </w:r>
    </w:p>
    <w:p>
      <w:pPr>
        <w:pStyle w:val="BodyText"/>
        <w:ind w:start="737" w:end="0"/>
        <w:jc w:val="both"/>
        <w:rPr/>
      </w:pPr>
      <w:r>
        <w:rPr>
          <w:lang w:val="en-CA" w:eastAsia="en-CA"/>
        </w:rPr>
        <w:t>MSJ’s</w:t>
      </w:r>
      <w:r>
        <w:rPr>
          <w:color w:val="000000"/>
        </w:rPr>
        <w:t xml:space="preserve"> e-commerce practice has an unparalleled reputation in this rapidly developing area of law.  The Australian Industry Standard reported in March 2000 that:</w:t>
      </w:r>
    </w:p>
    <w:p>
      <w:pPr>
        <w:pStyle w:val="BodyText"/>
        <w:ind w:start="1474" w:end="0"/>
        <w:jc w:val="both"/>
        <w:rPr/>
      </w:pPr>
      <w:r>
        <w:rPr/>
        <w:t>"Looking at the ratio of Internet commerce specialists to total legal practitioners in each firm is one way to tell who's on top from who's not.  Another is to ask a sampling of e-commerce lawyers for their own perception of the pecking order.  When you combine both approaches, a list emerges that is led by … Mallesons Stephen Jaques…</w:t>
      </w:r>
    </w:p>
    <w:p>
      <w:pPr>
        <w:pStyle w:val="BodyText"/>
        <w:ind w:start="1474" w:end="0"/>
        <w:jc w:val="both"/>
        <w:rPr/>
      </w:pPr>
      <w:r>
        <w:rPr/>
        <w:t>Mallesons, a huge full service group, deploys 90 lawyers in its e-commerce group and another 25 who specialise in electronic banking.  It does massive amounts of work for Telstra, plays across the broad spectrum of e-commerce work and boasts that it employs more experts across more fields than any other law firm in the country."</w:t>
      </w:r>
    </w:p>
    <w:p>
      <w:pPr>
        <w:pStyle w:val="BodyText"/>
        <w:ind w:start="737" w:end="0"/>
        <w:jc w:val="both"/>
        <w:rPr/>
      </w:pPr>
      <w:r>
        <w:rPr/>
        <w:t>This excellent reputation has been established because MSJ’s lawyers have assisted clients in the launch of Internet banking, on-line shopping schemes, electronic payment systems, secure Internet payment systems, electronic prospectuses, smartcard and digital cash schemes, along with the establishment of major networks and service providers.</w:t>
      </w:r>
    </w:p>
    <w:p>
      <w:pPr>
        <w:pStyle w:val="BodyText"/>
        <w:spacing w:before="0" w:after="0"/>
        <w:ind w:start="734" w:end="0"/>
        <w:jc w:val="both"/>
        <w:rPr>
          <w:b/>
        </w:rPr>
      </w:pPr>
      <w:r>
        <w:rPr>
          <w:b/>
        </w:rPr>
        <w:t>MSJ’s technical skills</w:t>
      </w:r>
    </w:p>
    <w:p>
      <w:pPr>
        <w:pStyle w:val="BodyText"/>
        <w:ind w:start="737" w:end="0"/>
        <w:jc w:val="both"/>
        <w:rPr/>
      </w:pPr>
      <w:r>
        <w:rPr/>
        <w:t>MSJ has made a significant investment in web based technologies and internal know how.  This has been done to create leading and efficient processes for building the firm’s intellectual capital in a way which facilities electronic products being created for use by its traditional client base and also a broader user base.</w:t>
      </w:r>
    </w:p>
    <w:p>
      <w:pPr>
        <w:pStyle w:val="BodyText"/>
        <w:spacing w:before="0" w:after="240"/>
        <w:ind w:start="737" w:end="0"/>
        <w:jc w:val="both"/>
        <w:rPr/>
      </w:pPr>
      <w:r>
        <w:rPr/>
        <w:t xml:space="preserve">The firm has a Know How Group of over 50 professionals which encompasses web development, intranets, extranets, Internet, technology training, precedents and library. </w:t>
      </w:r>
    </w:p>
    <w:sectPr>
      <w:headerReference w:type="default" r:id="rId7"/>
      <w:headerReference w:type="first" r:id="rId8"/>
      <w:footerReference w:type="default" r:id="rId9"/>
      <w:footerReference w:type="first" r:id="rId10"/>
      <w:type w:val="nextPage"/>
      <w:pgSz w:w="11906" w:h="16838"/>
      <w:pgMar w:left="1418" w:right="1418" w:gutter="0" w:header="720" w:top="1418" w:footer="720" w:bottom="141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SYDNEY/0479372.02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SYDNEY/0479372.01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jc w:val="end"/>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r>
      <w:rPr>
        <w:rStyle w:val="PageNumber"/>
        <w:sz w:val="18"/>
      </w:rPr>
      <w:t xml:space="preserve"> </w:t>
    </w:r>
    <w:r>
      <w:rPr>
        <w:rStyle w:val="PageNumber"/>
        <w:sz w:val="18"/>
      </w:rPr>
      <w:tab/>
      <w:tab/>
      <w:tab/>
      <w:tab/>
      <w:tab/>
      <w:t>ISDA RFP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 8 September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jc w:val="end"/>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r>
      <w:rPr>
        <w:rStyle w:val="PageNumber"/>
        <w:sz w:val="18"/>
      </w:rPr>
      <w:t xml:space="preserve"> </w:t>
    </w:r>
    <w:r>
      <w:rPr>
        <w:rStyle w:val="PageNumber"/>
        <w:sz w:val="18"/>
      </w:rPr>
      <w:tab/>
      <w:tab/>
      <w:tab/>
      <w:tab/>
      <w:tab/>
      <w:t>ISDA RFP</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ind w:firstLine="737" w:start="737" w:end="0"/>
      <w:jc w:val="end"/>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w:rPr>
        <w:rStyle w:val="PageNumber"/>
        <w:sz w:val="18"/>
      </w:rPr>
      <w:tab/>
    </w:r>
    <w:r>
      <w:rPr>
        <w:rStyle w:val="PageNumber"/>
      </w:rPr>
      <w:tab/>
      <w:tab/>
      <w:tab/>
      <w:tab/>
    </w:r>
    <w:r>
      <w:rPr>
        <w:rStyle w:val="PageNumber"/>
        <w:sz w:val="18"/>
      </w:rPr>
      <w:t>ISDA RFP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37"/>
        </w:tabs>
        <w:ind w:start="737" w:hanging="737"/>
      </w:pPr>
    </w:lvl>
    <w:lvl w:ilvl="1">
      <w:start w:val="1"/>
      <w:pStyle w:val="Heading2"/>
      <w:numFmt w:val="decimal"/>
      <w:lvlText w:val="%1.%2"/>
      <w:lvlJc w:val="start"/>
      <w:pPr>
        <w:tabs>
          <w:tab w:val="num" w:pos="737"/>
        </w:tabs>
        <w:ind w:start="737" w:hanging="737"/>
      </w:pPr>
    </w:lvl>
    <w:lvl w:ilvl="2">
      <w:start w:val="1"/>
      <w:pStyle w:val="Heading3"/>
      <w:numFmt w:val="lowerLetter"/>
      <w:lvlText w:val="(%3)"/>
      <w:lvlJc w:val="start"/>
      <w:pPr>
        <w:tabs>
          <w:tab w:val="num" w:pos="1097"/>
        </w:tabs>
        <w:ind w:start="737" w:hanging="0"/>
      </w:pPr>
    </w:lvl>
    <w:lvl w:ilvl="3">
      <w:start w:val="1"/>
      <w:pStyle w:val="Heading4"/>
      <w:numFmt w:val="lowerRoman"/>
      <w:lvlText w:val="(%4)"/>
      <w:lvlJc w:val="start"/>
      <w:pPr>
        <w:tabs>
          <w:tab w:val="num" w:pos="2194"/>
        </w:tabs>
        <w:ind w:start="737" w:firstLine="737"/>
      </w:pPr>
    </w:lvl>
    <w:lvl w:ilvl="4">
      <w:start w:val="1"/>
      <w:pStyle w:val="Heading5"/>
      <w:numFmt w:val="upperLetter"/>
      <w:lvlText w:val="(%5)"/>
      <w:lvlJc w:val="start"/>
      <w:pPr>
        <w:tabs>
          <w:tab w:val="num" w:pos="2571"/>
        </w:tabs>
        <w:ind w:start="737" w:firstLine="1474"/>
      </w:pPr>
    </w:lvl>
    <w:lvl w:ilvl="5">
      <w:start w:val="1"/>
      <w:pStyle w:val="Heading6"/>
      <w:numFmt w:val="none"/>
      <w:suff w:val="nothing"/>
      <w:lvlText w:val=""/>
      <w:lvlJc w:val="start"/>
      <w:pPr>
        <w:tabs>
          <w:tab w:val="num" w:pos="0"/>
        </w:tabs>
        <w:ind w:start="0" w:hanging="0"/>
      </w:pPr>
    </w:lvl>
    <w:lvl w:ilvl="6">
      <w:start w:val="1"/>
      <w:pStyle w:val="Heading7"/>
      <w:numFmt w:val="decimal"/>
      <w:lvlText w:val="%7"/>
      <w:lvlJc w:val="start"/>
      <w:pPr>
        <w:tabs>
          <w:tab w:val="num" w:pos="737"/>
        </w:tabs>
        <w:ind w:start="737" w:hanging="737"/>
      </w:pPr>
    </w:lvl>
    <w:lvl w:ilvl="7">
      <w:start w:val="1"/>
      <w:pStyle w:val="Heading8"/>
      <w:numFmt w:val="lowerLetter"/>
      <w:lvlText w:val="(%8)"/>
      <w:lvlJc w:val="start"/>
      <w:pPr>
        <w:tabs>
          <w:tab w:val="num" w:pos="1097"/>
        </w:tabs>
        <w:ind w:start="737" w:hanging="0"/>
      </w:pPr>
    </w:lvl>
    <w:lvl w:ilvl="8">
      <w:start w:val="1"/>
      <w:pStyle w:val="Heading9"/>
      <w:numFmt w:val="lowerRoman"/>
      <w:lvlText w:val="(%9)"/>
      <w:lvlJc w:val="start"/>
      <w:pPr>
        <w:tabs>
          <w:tab w:val="num" w:pos="2194"/>
        </w:tabs>
        <w:ind w:start="737" w:firstLine="737"/>
      </w:pPr>
    </w:lvl>
  </w:abstractNum>
  <w:abstractNum w:abstractNumId="2">
    <w:lvl w:ilvl="0">
      <w:start w:val="9"/>
      <w:numFmt w:val="bullet"/>
      <w:lvlText w:val="-"/>
      <w:lvlJc w:val="start"/>
      <w:pPr>
        <w:tabs>
          <w:tab w:val="num" w:pos="2571"/>
        </w:tabs>
        <w:ind w:start="2571" w:hanging="360"/>
      </w:pPr>
      <w:rPr>
        <w:rFonts w:ascii="Liberation Serif" w:hAnsi="Liberation Serif" w:cs="Liberation Serif" w:hint="default"/>
      </w:rPr>
    </w:lvl>
  </w:abstractNum>
  <w:abstractNum w:abstractNumId="3">
    <w:lvl w:ilvl="0">
      <w:start w:val="1"/>
      <w:numFmt w:val="bullet"/>
      <w:lvlText w:val=""/>
      <w:lvlJc w:val="start"/>
      <w:pPr>
        <w:tabs>
          <w:tab w:val="num" w:pos="737"/>
        </w:tabs>
        <w:ind w:start="737" w:hanging="737"/>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1457"/>
        </w:tabs>
        <w:ind w:start="1457" w:hanging="360"/>
      </w:pPr>
      <w:rPr>
        <w:rFonts w:ascii="Symbol" w:hAnsi="Symbol" w:cs="Symbol" w:hint="default"/>
      </w:rPr>
    </w:lvl>
  </w:abstractNum>
  <w:abstractNum w:abstractNumId="6">
    <w:lvl w:ilvl="0">
      <w:start w:val="1"/>
      <w:numFmt w:val="bullet"/>
      <w:lvlText w:val=""/>
      <w:lvlJc w:val="start"/>
      <w:pPr>
        <w:tabs>
          <w:tab w:val="num" w:pos="737"/>
        </w:tabs>
        <w:ind w:start="737" w:hanging="737"/>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1457"/>
        </w:tabs>
        <w:ind w:start="1457"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37"/>
  <w:autoHyphenation w:val="true"/>
  <w:hyphenationZone w:val="0"/>
  <w:compat>
    <w:compatSetting w:name="compatibilityMode" w:uri="http://schemas.microsoft.com/office/word" w:val="11"/>
  </w:compat>
  <w:docVars>
    <w:docVar w:name="FirstTime"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AU" w:bidi="ar-SA" w:eastAsia="zh-CN"/>
    </w:rPr>
  </w:style>
  <w:style w:type="paragraph" w:styleId="Heading1">
    <w:name w:val="heading 1"/>
    <w:basedOn w:val="Normal"/>
    <w:next w:val="Heading2"/>
    <w:qFormat/>
    <w:pPr>
      <w:numPr>
        <w:ilvl w:val="0"/>
        <w:numId w:val="1"/>
      </w:numPr>
      <w:tabs>
        <w:tab w:val="clear" w:pos="737"/>
      </w:tabs>
      <w:spacing w:before="0" w:after="240"/>
      <w:outlineLvl w:val="0"/>
    </w:pPr>
    <w:rPr>
      <w:rFonts w:ascii="Arial Narrow" w:hAnsi="Arial Narrow" w:cs="Arial Narrow"/>
      <w:b/>
      <w:sz w:val="32"/>
    </w:rPr>
  </w:style>
  <w:style w:type="paragraph" w:styleId="Heading2">
    <w:name w:val="heading 2"/>
    <w:basedOn w:val="Normal"/>
    <w:next w:val="BodyText"/>
    <w:qFormat/>
    <w:pPr>
      <w:numPr>
        <w:ilvl w:val="1"/>
        <w:numId w:val="1"/>
      </w:numPr>
      <w:spacing w:before="0" w:after="240"/>
      <w:outlineLvl w:val="1"/>
    </w:pPr>
    <w:rPr>
      <w:sz w:val="23"/>
    </w:rPr>
  </w:style>
  <w:style w:type="paragraph" w:styleId="Heading3">
    <w:name w:val="heading 3"/>
    <w:basedOn w:val="Normal"/>
    <w:next w:val="BodyText"/>
    <w:qFormat/>
    <w:pPr>
      <w:numPr>
        <w:ilvl w:val="2"/>
        <w:numId w:val="1"/>
      </w:numPr>
      <w:tabs>
        <w:tab w:val="clear" w:pos="737"/>
      </w:tabs>
      <w:spacing w:before="0" w:after="240"/>
      <w:ind w:hanging="737" w:start="1474" w:end="0"/>
      <w:outlineLvl w:val="2"/>
    </w:pPr>
    <w:rPr>
      <w:sz w:val="23"/>
    </w:rPr>
  </w:style>
  <w:style w:type="paragraph" w:styleId="Heading4">
    <w:name w:val="heading 4"/>
    <w:basedOn w:val="Normal"/>
    <w:next w:val="BodyText"/>
    <w:qFormat/>
    <w:pPr>
      <w:numPr>
        <w:ilvl w:val="3"/>
        <w:numId w:val="1"/>
      </w:numPr>
      <w:tabs>
        <w:tab w:val="clear" w:pos="737"/>
      </w:tabs>
      <w:spacing w:before="0" w:after="240"/>
      <w:ind w:hanging="737" w:start="2211" w:end="0"/>
      <w:outlineLvl w:val="3"/>
    </w:pPr>
    <w:rPr>
      <w:sz w:val="23"/>
    </w:rPr>
  </w:style>
  <w:style w:type="paragraph" w:styleId="Heading5">
    <w:name w:val="heading 5"/>
    <w:basedOn w:val="Normal"/>
    <w:next w:val="BodyText"/>
    <w:qFormat/>
    <w:pPr>
      <w:numPr>
        <w:ilvl w:val="4"/>
        <w:numId w:val="1"/>
      </w:numPr>
      <w:tabs>
        <w:tab w:val="clear" w:pos="737"/>
      </w:tabs>
      <w:spacing w:before="0" w:after="240"/>
      <w:ind w:hanging="737" w:start="2948" w:end="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tabs>
        <w:tab w:val="clear" w:pos="737"/>
      </w:tabs>
      <w:spacing w:before="0" w:after="240"/>
      <w:outlineLvl w:val="6"/>
    </w:pPr>
    <w:rPr/>
  </w:style>
  <w:style w:type="paragraph" w:styleId="Heading8">
    <w:name w:val="heading 8"/>
    <w:basedOn w:val="Normal"/>
    <w:next w:val="BodyText"/>
    <w:qFormat/>
    <w:pPr>
      <w:numPr>
        <w:ilvl w:val="7"/>
        <w:numId w:val="1"/>
      </w:numPr>
      <w:tabs>
        <w:tab w:val="clear" w:pos="737"/>
      </w:tabs>
      <w:spacing w:before="0" w:after="240"/>
      <w:ind w:hanging="737" w:start="1474" w:end="0"/>
      <w:outlineLvl w:val="7"/>
    </w:pPr>
    <w:rPr/>
  </w:style>
  <w:style w:type="paragraph" w:styleId="Heading9">
    <w:name w:val="heading 9"/>
    <w:basedOn w:val="Normal"/>
    <w:next w:val="BodyText"/>
    <w:qFormat/>
    <w:pPr>
      <w:numPr>
        <w:ilvl w:val="8"/>
        <w:numId w:val="1"/>
      </w:numPr>
      <w:tabs>
        <w:tab w:val="clear" w:pos="737"/>
      </w:tabs>
      <w:spacing w:before="0" w:after="240"/>
      <w:ind w:hanging="737" w:start="2211" w:end="0"/>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lang w:val="en-AU"/>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Footer">
    <w:name w:val="footer"/>
    <w:basedOn w:val="Normal"/>
    <w:pPr/>
    <w:rPr/>
  </w:style>
  <w:style w:type="paragraph" w:styleId="ArialN16">
    <w:name w:val="ArialN16"/>
    <w:basedOn w:val="Normal"/>
    <w:next w:val="Normal"/>
    <w:qFormat/>
    <w:pPr/>
    <w:rPr>
      <w:rFonts w:ascii="Arial Narrow" w:hAnsi="Arial Narrow" w:cs="Arial Narrow"/>
      <w:b/>
      <w:sz w:val="32"/>
    </w:rPr>
  </w:style>
  <w:style w:type="paragraph" w:styleId="ContentsTitle">
    <w:name w:val="Contents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rPr>
  </w:style>
  <w:style w:type="paragraph" w:styleId="Indent1">
    <w:name w:val="Indent 1"/>
    <w:basedOn w:val="Normal"/>
    <w:qFormat/>
    <w:pPr>
      <w:spacing w:before="0" w:after="240"/>
      <w:ind w:hanging="0" w:start="737" w:end="0"/>
    </w:pPr>
    <w:rPr/>
  </w:style>
  <w:style w:type="paragraph" w:styleId="Indent2">
    <w:name w:val="Indent 2"/>
    <w:basedOn w:val="Normal"/>
    <w:qFormat/>
    <w:pPr>
      <w:spacing w:before="0" w:after="240"/>
      <w:ind w:hanging="0" w:start="737" w:end="0"/>
    </w:pPr>
    <w:rPr/>
  </w:style>
  <w:style w:type="paragraph" w:styleId="Indent3">
    <w:name w:val="Indent 3"/>
    <w:basedOn w:val="Normal"/>
    <w:qFormat/>
    <w:pPr>
      <w:spacing w:before="0" w:after="240"/>
      <w:ind w:hanging="0" w:start="1474" w:end="0"/>
    </w:pPr>
    <w:rPr/>
  </w:style>
  <w:style w:type="paragraph" w:styleId="Indent4">
    <w:name w:val="Indent 4"/>
    <w:basedOn w:val="Normal"/>
    <w:qFormat/>
    <w:pPr>
      <w:spacing w:before="0" w:after="240"/>
      <w:ind w:hanging="0" w:start="2211" w:end="0"/>
    </w:pPr>
    <w:rPr/>
  </w:style>
  <w:style w:type="paragraph" w:styleId="Indent5">
    <w:name w:val="Indent 5"/>
    <w:basedOn w:val="Normal"/>
    <w:qFormat/>
    <w:pPr>
      <w:spacing w:before="0" w:after="240"/>
      <w:ind w:hanging="0" w:start="2948" w:end="0"/>
    </w:pPr>
    <w:rPr/>
  </w:style>
  <w:style w:type="paragraph" w:styleId="Header">
    <w:name w:val="header"/>
    <w:basedOn w:val="Normal"/>
    <w:pPr/>
    <w:rPr/>
  </w:style>
  <w:style w:type="paragraph" w:styleId="TOC4">
    <w:name w:val="toc 4"/>
    <w:basedOn w:val="Normal"/>
    <w:next w:val="Normal"/>
    <w:pPr>
      <w:ind w:hanging="0" w:start="690" w:end="0"/>
    </w:pPr>
    <w:rPr/>
  </w:style>
  <w:style w:type="paragraph" w:styleId="DocTitle">
    <w:name w:val="DocTitle"/>
    <w:basedOn w:val="Normal"/>
    <w:next w:val="Normal"/>
    <w:qFormat/>
    <w:pPr>
      <w:tabs>
        <w:tab w:val="clear" w:pos="737"/>
        <w:tab w:val="left" w:pos="2722" w:leader="none"/>
      </w:tabs>
      <w:ind w:hanging="0" w:start="2722" w:end="0"/>
    </w:pPr>
    <w:rPr>
      <w:rFonts w:ascii="Arial Narrow" w:hAnsi="Arial Narrow" w:cs="Arial Narrow"/>
      <w:b/>
      <w:sz w:val="34"/>
    </w:rPr>
  </w:style>
  <w:style w:type="paragraph" w:styleId="SchedTitle">
    <w:name w:val="Sched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rPr>
  </w:style>
  <w:style w:type="paragraph" w:styleId="SubHead">
    <w:name w:val="SubHead"/>
    <w:basedOn w:val="Normal"/>
    <w:next w:val="Heading2"/>
    <w:qFormat/>
    <w:pPr>
      <w:keepNext w:val="true"/>
    </w:pPr>
    <w:rPr>
      <w:b/>
    </w:rPr>
  </w:style>
  <w:style w:type="paragraph" w:styleId="TOC1">
    <w:name w:val="toc 1"/>
    <w:basedOn w:val="Normal"/>
    <w:next w:val="Normal"/>
    <w:pPr>
      <w:tabs>
        <w:tab w:val="clear" w:pos="737"/>
        <w:tab w:val="left" w:pos="2949" w:leader="none"/>
        <w:tab w:val="right" w:pos="9072" w:leader="none"/>
      </w:tabs>
      <w:spacing w:before="120" w:after="120"/>
      <w:ind w:hanging="738" w:start="2949" w:end="0"/>
    </w:pPr>
    <w:rPr>
      <w:rFonts w:ascii="Arial Narrow" w:hAnsi="Arial Narrow" w:cs="Arial Narrow"/>
      <w:sz w:val="24"/>
      <w:lang w:val="en-CA" w:eastAsia="en-CA"/>
    </w:rPr>
  </w:style>
  <w:style w:type="paragraph" w:styleId="TOC2">
    <w:name w:val="toc 2"/>
    <w:basedOn w:val="Normal"/>
    <w:next w:val="Normal"/>
    <w:pPr>
      <w:ind w:hanging="0" w:start="3459" w:end="0"/>
    </w:pPr>
    <w:rPr/>
  </w:style>
  <w:style w:type="paragraph" w:styleId="TOC3">
    <w:name w:val="toc 3"/>
    <w:basedOn w:val="Normal"/>
    <w:next w:val="Normal"/>
    <w:pPr>
      <w:tabs>
        <w:tab w:val="clear" w:pos="737"/>
        <w:tab w:val="right" w:pos="9299" w:leader="none"/>
      </w:tabs>
      <w:spacing w:before="120" w:after="120"/>
      <w:ind w:hanging="227" w:start="2949" w:end="0"/>
    </w:pPr>
    <w:rPr>
      <w:b/>
    </w:rPr>
  </w:style>
  <w:style w:type="paragraph" w:styleId="TOC5">
    <w:name w:val="toc 5"/>
    <w:basedOn w:val="Normal"/>
    <w:next w:val="Normal"/>
    <w:pPr>
      <w:ind w:hanging="0" w:start="920" w:end="0"/>
    </w:pPr>
    <w:rPr/>
  </w:style>
  <w:style w:type="paragraph" w:styleId="TOC6">
    <w:name w:val="toc 6"/>
    <w:basedOn w:val="Normal"/>
    <w:next w:val="Normal"/>
    <w:pPr>
      <w:ind w:hanging="0" w:start="1150" w:end="0"/>
    </w:pPr>
    <w:rPr/>
  </w:style>
  <w:style w:type="paragraph" w:styleId="TOC7">
    <w:name w:val="toc 7"/>
    <w:basedOn w:val="Normal"/>
    <w:next w:val="Normal"/>
    <w:pPr>
      <w:ind w:hanging="0" w:start="1380" w:end="0"/>
    </w:pPr>
    <w:rPr/>
  </w:style>
  <w:style w:type="paragraph" w:styleId="TOC8">
    <w:name w:val="toc 8"/>
    <w:basedOn w:val="Normal"/>
    <w:next w:val="Normal"/>
    <w:pPr>
      <w:ind w:hanging="0" w:start="1610" w:end="0"/>
    </w:pPr>
    <w:rPr/>
  </w:style>
  <w:style w:type="paragraph" w:styleId="TOC9">
    <w:name w:val="toc 9"/>
    <w:basedOn w:val="Normal"/>
    <w:next w:val="Normal"/>
    <w:pPr>
      <w:ind w:hanging="0" w:start="1840" w:end="0"/>
    </w:pPr>
    <w:rPr/>
  </w:style>
  <w:style w:type="paragraph" w:styleId="BodyText2">
    <w:name w:val="Body Text 2"/>
    <w:basedOn w:val="Normal"/>
    <w:qFormat/>
    <w:pPr>
      <w:spacing w:before="0" w:after="680"/>
      <w:jc w:val="center"/>
    </w:pPr>
    <w:rPr>
      <w:sz w:val="4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enron.com/"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fblankp</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2000-09-08T01:04:00Z</dcterms:created>
  <dc:creator>MSJ</dc:creator>
  <dc:description>correspondence numbering scheme</dc:description>
  <dc:language>en-CA</dc:language>
  <cp:lastModifiedBy>dminns</cp:lastModifiedBy>
  <cp:lastPrinted>2000-09-08T16:37:00Z</cp:lastPrinted>
  <dcterms:modified xsi:type="dcterms:W3CDTF">2000-09-08T04:36:00Z</dcterms:modified>
  <cp:revision>18</cp:revision>
  <dc:subject/>
  <dc:title>Firm Blank Sheet</dc:title>
</cp:coreProperties>
</file>