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18" w:type="dxa"/>
        <w:jc w:val="start"/>
        <w:tblInd w:w="-108" w:type="dxa"/>
        <w:tblLayout w:type="fixed"/>
        <w:tblCellMar>
          <w:top w:w="0" w:type="dxa"/>
          <w:start w:w="0" w:type="dxa"/>
          <w:bottom w:w="0" w:type="dxa"/>
          <w:end w:w="0" w:type="dxa"/>
        </w:tblCellMar>
      </w:tblPr>
      <w:tblGrid>
        <w:gridCol w:w="288"/>
        <w:gridCol w:w="1281"/>
        <w:gridCol w:w="1575"/>
        <w:gridCol w:w="2187"/>
        <w:gridCol w:w="1981"/>
        <w:gridCol w:w="167"/>
        <w:gridCol w:w="2234"/>
        <w:gridCol w:w="1105"/>
      </w:tblGrid>
      <w:tr>
        <w:trPr/>
        <w:tc>
          <w:tcPr>
            <w:tcW w:w="288" w:type="dxa"/>
            <w:tcBorders/>
          </w:tcPr>
          <w:p>
            <w:pPr>
              <w:pStyle w:val="TableHeading"/>
              <w:rPr/>
            </w:pPr>
            <w:r>
              <w:rPr/>
            </w:r>
          </w:p>
        </w:tc>
        <w:tc>
          <w:tcPr>
            <w:tcW w:w="2856" w:type="dxa"/>
            <w:gridSpan w:val="2"/>
            <w:tcBorders/>
            <w:tcMar>
              <w:start w:w="108" w:type="dxa"/>
              <w:end w:w="108" w:type="dxa"/>
            </w:tcMar>
          </w:tcPr>
          <w:p>
            <w:pPr>
              <w:pStyle w:val="Normal"/>
              <w:tabs>
                <w:tab w:val="clear" w:pos="720"/>
                <w:tab w:val="right" w:pos="8640" w:leader="none"/>
              </w:tabs>
              <w:jc w:val="both"/>
              <w:rPr/>
            </w:pPr>
            <w:r>
              <w:rPr/>
              <w:drawing>
                <wp:inline distT="0" distB="0" distL="0" distR="0">
                  <wp:extent cx="948055" cy="9417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8055" cy="941705"/>
                          </a:xfrm>
                          <a:prstGeom prst="rect">
                            <a:avLst/>
                          </a:prstGeom>
                          <a:noFill/>
                        </pic:spPr>
                      </pic:pic>
                    </a:graphicData>
                  </a:graphic>
                </wp:inline>
              </w:drawing>
            </w:r>
            <w:r>
              <w:rPr>
                <w:rFonts w:eastAsia="Tms Rmn;Times New Roman"/>
                <w:b/>
                <w:sz w:val="30"/>
              </w:rPr>
              <w:t xml:space="preserve"> </w:t>
            </w:r>
            <w:r>
              <w:rPr>
                <w:b/>
                <w:sz w:val="30"/>
              </w:rPr>
              <w:tab/>
            </w:r>
          </w:p>
          <w:p>
            <w:pPr>
              <w:pStyle w:val="Normal"/>
              <w:tabs>
                <w:tab w:val="clear" w:pos="720"/>
                <w:tab w:val="right" w:pos="8640" w:leader="none"/>
              </w:tabs>
              <w:jc w:val="both"/>
              <w:rPr>
                <w:b/>
                <w:sz w:val="16"/>
              </w:rPr>
            </w:pPr>
            <w:r>
              <w:rPr>
                <w:b/>
                <w:sz w:val="16"/>
              </w:rPr>
              <w:t>Natural Gas,</w:t>
            </w:r>
          </w:p>
          <w:p>
            <w:pPr>
              <w:pStyle w:val="Normal"/>
              <w:tabs>
                <w:tab w:val="clear" w:pos="720"/>
                <w:tab w:val="right" w:pos="8640" w:leader="none"/>
              </w:tabs>
              <w:jc w:val="both"/>
              <w:rPr>
                <w:b/>
                <w:sz w:val="16"/>
              </w:rPr>
            </w:pPr>
            <w:r>
              <w:rPr>
                <w:b/>
                <w:sz w:val="16"/>
              </w:rPr>
              <w:t>Electricity and</w:t>
              <w:tab/>
            </w:r>
          </w:p>
          <w:p>
            <w:pPr>
              <w:pStyle w:val="Normal"/>
              <w:tabs>
                <w:tab w:val="clear" w:pos="720"/>
                <w:tab w:val="right" w:pos="8640" w:leader="none"/>
              </w:tabs>
              <w:jc w:val="both"/>
              <w:rPr>
                <w:b/>
                <w:sz w:val="26"/>
              </w:rPr>
            </w:pPr>
            <w:r>
              <w:rPr>
                <w:b/>
                <w:sz w:val="16"/>
              </w:rPr>
              <w:t>Endless Possibilities</w:t>
            </w:r>
            <w:r>
              <w:rPr>
                <w:b/>
                <w:sz w:val="30"/>
              </w:rPr>
              <w:tab/>
            </w:r>
          </w:p>
          <w:p>
            <w:pPr>
              <w:pStyle w:val="Normal"/>
              <w:spacing w:before="20" w:after="0"/>
              <w:rPr>
                <w:b/>
                <w:sz w:val="26"/>
              </w:rPr>
            </w:pPr>
            <w:r>
              <w:rPr>
                <w:b/>
                <w:sz w:val="26"/>
              </w:rPr>
            </w:r>
          </w:p>
        </w:tc>
        <w:tc>
          <w:tcPr>
            <w:tcW w:w="4168" w:type="dxa"/>
            <w:gridSpan w:val="2"/>
            <w:tcBorders/>
            <w:tcMar>
              <w:start w:w="108" w:type="dxa"/>
              <w:end w:w="108" w:type="dxa"/>
            </w:tcMar>
          </w:tcPr>
          <w:p>
            <w:pPr>
              <w:pStyle w:val="Normal"/>
              <w:snapToGrid w:val="false"/>
              <w:jc w:val="both"/>
              <w:rPr>
                <w:b/>
                <w:sz w:val="36"/>
              </w:rPr>
            </w:pPr>
            <w:r>
              <w:rPr>
                <w:b/>
                <w:sz w:val="36"/>
              </w:rPr>
            </w:r>
          </w:p>
        </w:tc>
        <w:tc>
          <w:tcPr>
            <w:tcW w:w="3506" w:type="dxa"/>
            <w:gridSpan w:val="3"/>
            <w:tcBorders/>
            <w:tcMar>
              <w:start w:w="108" w:type="dxa"/>
              <w:end w:w="108" w:type="dxa"/>
            </w:tcMar>
          </w:tcPr>
          <w:p>
            <w:pPr>
              <w:pStyle w:val="Normal"/>
              <w:snapToGrid w:val="false"/>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32"/>
              </w:rPr>
            </w:pPr>
            <w:r>
              <w:rPr>
                <w:b/>
                <w:sz w:val="32"/>
              </w:rPr>
              <w:t>Interoffice</w:t>
            </w:r>
          </w:p>
          <w:p>
            <w:pPr>
              <w:pStyle w:val="Normal"/>
              <w:jc w:val="both"/>
              <w:rPr>
                <w:b/>
                <w:sz w:val="36"/>
              </w:rPr>
            </w:pPr>
            <w:r>
              <w:rPr>
                <w:b/>
                <w:sz w:val="32"/>
              </w:rPr>
              <w:t>Memorandum</w:t>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TO:</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Mark Taylor</w:t>
            </w:r>
          </w:p>
        </w:tc>
        <w:tc>
          <w:tcPr>
            <w:tcW w:w="2148"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tc>
        <w:tc>
          <w:tcPr>
            <w:tcW w:w="2234" w:type="dxa"/>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3762"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148" w:type="dxa"/>
            <w:gridSpan w:val="2"/>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Mar>
              <w:start w:w="108" w:type="dxa"/>
              <w:end w:w="108" w:type="dxa"/>
            </w:tcMar>
          </w:tcPr>
          <w:p>
            <w:pPr>
              <w:pStyle w:val="Normal"/>
              <w:snapToGrid w:val="false"/>
              <w:rPr>
                <w:rFonts w:ascii="Times New Roman" w:hAnsi="Times New Roman" w:cs="Times New Roman"/>
                <w:sz w:val="24"/>
              </w:rPr>
            </w:pPr>
            <w:r>
              <w:rPr>
                <w:rFonts w:cs="Times New Roman" w:ascii="Times New Roman" w:hAnsi="Times New Roman"/>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FROM:</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Carol St. Clair</w:t>
            </w:r>
          </w:p>
        </w:tc>
        <w:tc>
          <w:tcPr>
            <w:tcW w:w="2148"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DEPARTMENT:</w:t>
            </w:r>
          </w:p>
        </w:tc>
        <w:tc>
          <w:tcPr>
            <w:tcW w:w="2234" w:type="dxa"/>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ENA Legal</w:t>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3762"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148" w:type="dxa"/>
            <w:gridSpan w:val="2"/>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234" w:type="dxa"/>
            <w:tcBorders/>
            <w:tcMar>
              <w:start w:w="108" w:type="dxa"/>
              <w:end w:w="108" w:type="dxa"/>
            </w:tcMar>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SUBJECT:</w:t>
            </w:r>
          </w:p>
        </w:tc>
        <w:tc>
          <w:tcPr>
            <w:tcW w:w="3762"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Project Status Memo</w:t>
            </w:r>
          </w:p>
        </w:tc>
        <w:tc>
          <w:tcPr>
            <w:tcW w:w="2148" w:type="dxa"/>
            <w:gridSpan w:val="2"/>
            <w:tcBorders/>
            <w:tcMar>
              <w:start w:w="108" w:type="dxa"/>
              <w:end w:w="108" w:type="dxa"/>
            </w:tcMar>
          </w:tcPr>
          <w:p>
            <w:pPr>
              <w:pStyle w:val="Normal"/>
              <w:rPr>
                <w:rFonts w:ascii="Times New Roman" w:hAnsi="Times New Roman" w:cs="Times New Roman"/>
                <w:sz w:val="24"/>
              </w:rPr>
            </w:pPr>
            <w:r>
              <w:rPr>
                <w:rFonts w:cs="Times New Roman" w:ascii="Times New Roman" w:hAnsi="Times New Roman"/>
                <w:b/>
                <w:sz w:val="24"/>
              </w:rPr>
              <w:t>DATE:</w:t>
            </w:r>
          </w:p>
        </w:tc>
        <w:tc>
          <w:tcPr>
            <w:tcW w:w="2234" w:type="dxa"/>
            <w:tcBorders/>
            <w:tcMar>
              <w:start w:w="108" w:type="dxa"/>
              <w:end w:w="108" w:type="dxa"/>
            </w:tcMar>
          </w:tcPr>
          <w:p>
            <w:pPr>
              <w:pStyle w:val="Normal"/>
              <w:rPr>
                <w:rFonts w:ascii="Times New Roman" w:hAnsi="Times New Roman" w:cs="Times New Roman"/>
                <w:sz w:val="24"/>
              </w:rPr>
            </w:pPr>
            <w:r>
              <w:rPr>
                <w:rFonts w:cs="Times New Roman" w:ascii="Times New Roman" w:hAnsi="Times New Roman"/>
                <w:sz w:val="24"/>
              </w:rPr>
              <w:t>July 19, 2000</w:t>
            </w:r>
          </w:p>
        </w:tc>
        <w:tc>
          <w:tcPr>
            <w:tcW w:w="1105"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bl>
    <w:p>
      <w:pPr>
        <w:pStyle w:val="Normal"/>
        <w:pBdr>
          <w:bottom w:val="single" w:sz="18" w:space="1" w:color="000000"/>
        </w:pBdr>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spacing w:lineRule="atLeast" w:line="240"/>
        <w:jc w:val="both"/>
        <w:rPr>
          <w:rFonts w:ascii="Times New Roman" w:hAnsi="Times New Roman" w:cs="Times New Roman"/>
          <w:sz w:val="24"/>
        </w:rPr>
      </w:pPr>
      <w:r>
        <w:rPr>
          <w:rFonts w:cs="Times New Roman" w:ascii="Times New Roman" w:hAnsi="Times New Roman"/>
          <w:sz w:val="24"/>
        </w:rPr>
        <w:tab/>
      </w:r>
    </w:p>
    <w:p>
      <w:pPr>
        <w:pStyle w:val="Heading3"/>
        <w:ind w:hanging="0" w:start="0"/>
        <w:rPr/>
      </w:pPr>
      <w:r>
        <w:rPr/>
        <w:t>A.</w:t>
        <w:tab/>
        <w:t>Structured Deals</w:t>
      </w:r>
    </w:p>
    <w:p>
      <w:pPr>
        <w:pStyle w:val="Normal"/>
        <w:tabs>
          <w:tab w:val="left" w:pos="720"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BodyTextIndent"/>
        <w:rPr/>
      </w:pPr>
      <w:r>
        <w:rPr/>
        <w:t>1.</w:t>
        <w:tab/>
        <w:t>Project Margaux – scheduled to close this week.  I have asked Susan Bailey to follow up with Mark Evans to get a set of closing documents.</w:t>
      </w:r>
    </w:p>
    <w:p>
      <w:pPr>
        <w:pStyle w:val="Normal"/>
        <w:tabs>
          <w:tab w:val="left" w:pos="720" w:leader="none"/>
        </w:tabs>
        <w:spacing w:lineRule="atLeast" w:line="240"/>
        <w:ind w:start="360" w:end="0"/>
        <w:jc w:val="both"/>
        <w:rPr>
          <w:rFonts w:ascii="Times New Roman" w:hAnsi="Times New Roman" w:cs="Times New Roman"/>
          <w:sz w:val="24"/>
        </w:rPr>
      </w:pPr>
      <w:r>
        <w:rPr>
          <w:rFonts w:cs="Times New Roman" w:ascii="Times New Roman" w:hAnsi="Times New Roman"/>
          <w:sz w:val="24"/>
        </w:rPr>
      </w:r>
    </w:p>
    <w:p>
      <w:pPr>
        <w:pStyle w:val="BodyTextIndent"/>
        <w:numPr>
          <w:ilvl w:val="0"/>
          <w:numId w:val="2"/>
        </w:numPr>
        <w:rPr/>
      </w:pPr>
      <w:r>
        <w:rPr/>
        <w:t>Raptor II – closed June 30.  I have asked Susan Bailey to follow up with Alicia Curry at V&amp;E to obtain a set of closing documents.</w:t>
      </w:r>
    </w:p>
    <w:p>
      <w:pPr>
        <w:pStyle w:val="BodyTextIndent"/>
        <w:rPr/>
      </w:pPr>
      <w:r>
        <w:rPr/>
      </w:r>
    </w:p>
    <w:p>
      <w:pPr>
        <w:pStyle w:val="BodyTextIndent"/>
        <w:rPr/>
      </w:pPr>
      <w:r>
        <w:rPr/>
        <w:t>3.</w:t>
        <w:tab/>
        <w:t>FASB 125 Deals – at quarter end, Gareth’s group closed several total return swap deals into the “revolving” 125 structure.  I suggested to Sara that she meet with Brenda Funk after quarter end to get caught up on what deals were closed and to obtain the swap documentation.</w:t>
      </w:r>
    </w:p>
    <w:p>
      <w:pPr>
        <w:pStyle w:val="BodyTextIndent"/>
        <w:tabs>
          <w:tab w:val="clear" w:pos="720"/>
        </w:tabs>
        <w:ind w:start="0" w:end="0"/>
        <w:rPr/>
      </w:pPr>
      <w:r>
        <w:rPr/>
      </w:r>
    </w:p>
    <w:p>
      <w:pPr>
        <w:pStyle w:val="BodyTextIndent"/>
        <w:tabs>
          <w:tab w:val="clear" w:pos="720"/>
        </w:tabs>
        <w:ind w:start="0" w:end="0"/>
        <w:rPr/>
      </w:pPr>
      <w:r>
        <w:rPr/>
      </w:r>
    </w:p>
    <w:p>
      <w:pPr>
        <w:pStyle w:val="BodyTextIndent"/>
        <w:tabs>
          <w:tab w:val="clear" w:pos="720"/>
        </w:tabs>
        <w:ind w:start="0" w:end="0"/>
        <w:rPr/>
      </w:pPr>
      <w:r>
        <w:rPr/>
        <w:t>B.</w:t>
        <w:tab/>
        <w:t>Enron Online</w:t>
      </w:r>
    </w:p>
    <w:p>
      <w:pPr>
        <w:pStyle w:val="BodyTextIndent"/>
        <w:tabs>
          <w:tab w:val="clear" w:pos="720"/>
        </w:tabs>
        <w:rPr/>
      </w:pPr>
      <w:r>
        <w:rPr/>
      </w:r>
    </w:p>
    <w:p>
      <w:pPr>
        <w:pStyle w:val="BodyTextIndent"/>
        <w:tabs>
          <w:tab w:val="clear" w:pos="720"/>
        </w:tabs>
        <w:rPr/>
      </w:pPr>
      <w:r>
        <w:rPr/>
      </w:r>
    </w:p>
    <w:p>
      <w:pPr>
        <w:pStyle w:val="BodyTextIndent"/>
        <w:tabs>
          <w:tab w:val="clear" w:pos="720"/>
        </w:tabs>
        <w:rPr/>
      </w:pPr>
      <w:r>
        <w:rPr/>
        <w:t>1.</w:t>
        <w:tab/>
        <w:t>Last week I sent to you and to Tana a list of outstanding ETA amendments that had not been finalized.  The only active one is the Talisman amendment which I have sent to Dave Forester for his review.  I have not heard anything back from Dave Forester  to date.  My online file is near the window.  Tana has copies of all of the amendments.  I have forwarded to Leslie Hansen calls that I received last Wednesday.</w:t>
      </w:r>
    </w:p>
    <w:p>
      <w:pPr>
        <w:pStyle w:val="BodyTextIndent"/>
        <w:tabs>
          <w:tab w:val="clear" w:pos="720"/>
        </w:tabs>
        <w:rPr/>
      </w:pPr>
      <w:r>
        <w:rPr/>
      </w:r>
    </w:p>
    <w:p>
      <w:pPr>
        <w:pStyle w:val="BodyTextIndent"/>
        <w:tabs>
          <w:tab w:val="clear" w:pos="720"/>
        </w:tabs>
        <w:ind w:start="0" w:end="0"/>
        <w:rPr/>
      </w:pPr>
      <w:r>
        <w:rPr/>
      </w:r>
    </w:p>
    <w:p>
      <w:pPr>
        <w:pStyle w:val="BodyTextIndent"/>
        <w:tabs>
          <w:tab w:val="clear" w:pos="720"/>
        </w:tabs>
        <w:ind w:start="0" w:end="0"/>
        <w:rPr/>
      </w:pPr>
      <w:r>
        <w:rPr/>
        <w:t>C.</w:t>
        <w:tab/>
        <w:t>ISDA Negotiations</w:t>
      </w:r>
    </w:p>
    <w:p>
      <w:pPr>
        <w:pStyle w:val="BodyTextIndent"/>
        <w:tabs>
          <w:tab w:val="clear" w:pos="720"/>
        </w:tabs>
        <w:rPr/>
      </w:pPr>
      <w:r>
        <w:rPr/>
      </w:r>
    </w:p>
    <w:p>
      <w:pPr>
        <w:pStyle w:val="BodyTextIndent"/>
        <w:jc w:val="start"/>
        <w:rPr/>
      </w:pPr>
      <w:r>
        <w:rPr/>
        <w:t>1.</w:t>
        <w:tab/>
        <w:t>Commercial Reinsurance Company – I inherited this from Susan Flynn last week.  I have marked up the Schedules to reflect comments that have been agreed to and I have given it to Susan Bailey to revise and send out.  This includes a new draft of Guaranty.  This should be ready to sign.  There was only one comment to the Guaranty that Clement did not agree to.</w:t>
      </w:r>
    </w:p>
    <w:p>
      <w:pPr>
        <w:pStyle w:val="Normal"/>
        <w:tabs>
          <w:tab w:val="left" w:pos="720" w:leader="none"/>
        </w:tabs>
        <w:spacing w:lineRule="atLeast" w:line="240"/>
        <w:jc w:val="both"/>
        <w:rPr>
          <w:rFonts w:ascii="Times New Roman" w:hAnsi="Times New Roman" w:cs="Times New Roman"/>
          <w:sz w:val="24"/>
        </w:rPr>
      </w:pPr>
      <w:r>
        <w:rPr>
          <w:rFonts w:cs="Times New Roman" w:ascii="Times New Roman" w:hAnsi="Times New Roman"/>
          <w:sz w:val="24"/>
        </w:rPr>
        <w:tab/>
        <w:tab/>
      </w:r>
    </w:p>
    <w:p>
      <w:pPr>
        <w:pStyle w:val="BodyTextIndent"/>
        <w:rPr/>
      </w:pPr>
      <w:r>
        <w:rPr/>
        <w:t>2.</w:t>
        <w:tab/>
        <w:t>Deutsche Bank – Steven Kessler, their counsel, sent to  me a new draft of the ISDA and CSA Schedules which need to be reviewed.  I forwarded his message to Sara and to Rod Nelson because there appear to be some credit issues and Rod is still handling this.  I have updated Lotus Notes and marked the current schedules with our comments and where things stand on open issues.  What I receive should be close to final and we have resolved all open issues.  He also was sent a new draft of Enron Guaranty which he needs to comment on.  Rod Nelson is still the credit person on this.</w:t>
        <w:tab/>
      </w:r>
    </w:p>
    <w:p>
      <w:pPr>
        <w:pStyle w:val="Normal"/>
        <w:tabs>
          <w:tab w:val="left" w:pos="720"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BodyTextIndent"/>
        <w:rPr/>
      </w:pPr>
      <w:r>
        <w:rPr/>
        <w:t>3.</w:t>
        <w:tab/>
        <w:t>Dresdner Bank – Andrea O’Toole, their counsel, owes me a response on some open issues which I have marked on the latest draft and also up-dated in Lotus Notes.  I have also marked on the existing draft additional changes that would need to be made once I hear back from Andrea.  I did not hear back from her prior to my departure.</w:t>
      </w:r>
    </w:p>
    <w:p>
      <w:pPr>
        <w:pStyle w:val="Normal"/>
        <w:tabs>
          <w:tab w:val="left" w:pos="720" w:leader="none"/>
        </w:tabs>
        <w:spacing w:lineRule="atLeast" w:line="240"/>
        <w:jc w:val="both"/>
        <w:rPr>
          <w:sz w:val="24"/>
        </w:rPr>
      </w:pPr>
      <w:r>
        <w:rPr>
          <w:sz w:val="24"/>
        </w:rPr>
        <w:tab/>
        <w:t xml:space="preserve"> </w:t>
      </w:r>
    </w:p>
    <w:p>
      <w:pPr>
        <w:pStyle w:val="BodyTextIndent"/>
        <w:rPr>
          <w:rFonts w:ascii="Tms Rmn;Times New Roman" w:hAnsi="Tms Rmn;Times New Roman" w:cs="Tms Rmn;Times New Roman"/>
        </w:rPr>
      </w:pPr>
      <w:r>
        <w:rPr>
          <w:rFonts w:cs="Tms Rmn;Times New Roman" w:ascii="Tms Rmn;Times New Roman" w:hAnsi="Tms Rmn;Times New Roman"/>
        </w:rPr>
        <w:t>4.</w:t>
        <w:tab/>
        <w:t xml:space="preserve">WPS Energy Services – They have sent a few comments to the Schedules which need to be discussed with their attorney, Edward Hammond (414-297-5619).  I left a voice mail message with him last week and he never responded.  We are also negotiating an amendment to their Guaranty which they are reviewing.  Russell Diamond is the credit person on this file. </w:t>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BodyTextIndent"/>
        <w:rPr>
          <w:rFonts w:ascii="Tms Rmn;Times New Roman" w:hAnsi="Tms Rmn;Times New Roman" w:cs="Tms Rmn;Times New Roman"/>
        </w:rPr>
      </w:pPr>
      <w:r>
        <w:rPr>
          <w:rFonts w:cs="Tms Rmn;Times New Roman" w:ascii="Tms Rmn;Times New Roman" w:hAnsi="Tms Rmn;Times New Roman"/>
        </w:rPr>
        <w:t>5.</w:t>
        <w:tab/>
        <w:t>Energy One Ventures LP – they owe us a response on a letter that I sent to Katie Flaherty, their attorney, in late April.  She left me a message that they were undergoing a reorganization and that she would get back to me after that had been co0mpleted.  The letter explains the issues that we are concerned about.  Russell Diamond is the credit person on this file.</w:t>
        <w:tab/>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BodyTextIndent"/>
        <w:rPr>
          <w:rFonts w:ascii="Tms Rmn;Times New Roman" w:hAnsi="Tms Rmn;Times New Roman" w:cs="Tms Rmn;Times New Roman"/>
        </w:rPr>
      </w:pPr>
      <w:r>
        <w:rPr>
          <w:rFonts w:cs="Tms Rmn;Times New Roman" w:ascii="Tms Rmn;Times New Roman" w:hAnsi="Tms Rmn;Times New Roman"/>
        </w:rPr>
        <w:t>6.</w:t>
        <w:tab/>
        <w:t>Occidental Energy Marketing Inc. – Mike Pate, their attorney, owes us a response</w:t>
        <w:tab/>
        <w:t xml:space="preserve"> on a mark-up that I sent to him as well as a draft CSA schedule that I sent to him.  Brant Reves is the credit person.  I e-mailed him last week and asked him for a status update and have not received a response.  </w:t>
      </w:r>
    </w:p>
    <w:p>
      <w:pPr>
        <w:pStyle w:val="Normal"/>
        <w:tabs>
          <w:tab w:val="left" w:pos="720" w:leader="none"/>
        </w:tabs>
        <w:spacing w:lineRule="atLeast" w:line="240"/>
        <w:ind w:start="360" w:end="0"/>
        <w:jc w:val="both"/>
        <w:rPr>
          <w:rFonts w:ascii="Tms Rmn;Times New Roman" w:hAnsi="Tms Rmn;Times New Roman" w:cs="Tms Rmn;Times New Roman"/>
          <w:sz w:val="24"/>
        </w:rPr>
      </w:pPr>
      <w:r>
        <w:rPr>
          <w:rFonts w:cs="Tms Rmn;Times New Roman"/>
          <w:sz w:val="24"/>
        </w:rPr>
      </w:r>
    </w:p>
    <w:p>
      <w:pPr>
        <w:pStyle w:val="Normal"/>
        <w:tabs>
          <w:tab w:val="left" w:pos="720" w:leader="none"/>
        </w:tabs>
        <w:spacing w:lineRule="atLeast" w:line="240"/>
        <w:ind w:start="360" w:end="0"/>
        <w:jc w:val="both"/>
        <w:rPr>
          <w:sz w:val="24"/>
        </w:rPr>
      </w:pPr>
      <w:r>
        <w:rPr>
          <w:sz w:val="24"/>
        </w:rPr>
      </w:r>
    </w:p>
    <w:p>
      <w:pPr>
        <w:pStyle w:val="BodyTextIndent"/>
        <w:rPr>
          <w:rFonts w:ascii="Tms Rmn;Times New Roman" w:hAnsi="Tms Rmn;Times New Roman" w:cs="Tms Rmn;Times New Roman"/>
        </w:rPr>
      </w:pPr>
      <w:r>
        <w:rPr>
          <w:rFonts w:cs="Tms Rmn;Times New Roman" w:ascii="Tms Rmn;Times New Roman" w:hAnsi="Tms Rmn;Times New Roman"/>
        </w:rPr>
        <w:t>7.</w:t>
        <w:tab/>
        <w:t>Equitable Energy LLC – I sent a new draft of the ISDA and CSA Schedules to Henry Reich, their attorney.  Susan Bailey was copied.  Russell Diamond is the credit person.  Open issues were bracketed.  Someone should call Henry for his comments on the new drafts.</w:t>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BodyTextIndent"/>
        <w:rPr>
          <w:rFonts w:ascii="Tms Rmn;Times New Roman" w:hAnsi="Tms Rmn;Times New Roman" w:cs="Tms Rmn;Times New Roman"/>
        </w:rPr>
      </w:pPr>
      <w:r>
        <w:rPr>
          <w:rFonts w:cs="Tms Rmn;Times New Roman" w:ascii="Tms Rmn;Times New Roman" w:hAnsi="Tms Rmn;Times New Roman"/>
        </w:rPr>
        <w:t>8.</w:t>
        <w:tab/>
        <w:t>Quaker Oats – I have sent our response to their comments by e-mail to Robert Monk and have not heard back from him.  Tanya owes me a response on 3 credit issues which I have indicated in the file.</w:t>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BodyTextIndent"/>
        <w:rPr>
          <w:rFonts w:ascii="Tms Rmn;Times New Roman" w:hAnsi="Tms Rmn;Times New Roman" w:cs="Tms Rmn;Times New Roman"/>
        </w:rPr>
      </w:pPr>
      <w:r>
        <w:rPr>
          <w:rFonts w:cs="Tms Rmn;Times New Roman" w:ascii="Tms Rmn;Times New Roman" w:hAnsi="Tms Rmn;Times New Roman"/>
        </w:rPr>
        <w:t>9.</w:t>
        <w:tab/>
        <w:t xml:space="preserve">SG Interests Ltd. – This is an amendment to an Industrial Master.  Rod needed to discuss 2 credit issues with them which I have indicated in the file.  </w:t>
      </w:r>
    </w:p>
    <w:p>
      <w:pPr>
        <w:pStyle w:val="Normal"/>
        <w:tabs>
          <w:tab w:val="left" w:pos="720" w:leader="none"/>
        </w:tabs>
        <w:spacing w:lineRule="atLeast" w:line="240"/>
        <w:ind w:start="360" w:end="0"/>
        <w:jc w:val="both"/>
        <w:rPr>
          <w:rFonts w:ascii="Tms Rmn;Times New Roman" w:hAnsi="Tms Rmn;Times New Roman" w:cs="Tms Rmn;Times New Roman"/>
          <w:sz w:val="24"/>
        </w:rPr>
      </w:pPr>
      <w:r>
        <w:rPr>
          <w:rFonts w:cs="Tms Rmn;Times New Roman"/>
          <w:sz w:val="24"/>
        </w:rPr>
      </w:r>
    </w:p>
    <w:p>
      <w:pPr>
        <w:pStyle w:val="Normal"/>
        <w:tabs>
          <w:tab w:val="left" w:pos="720" w:leader="none"/>
        </w:tabs>
        <w:spacing w:lineRule="atLeast" w:line="240"/>
        <w:ind w:start="360" w:end="0"/>
        <w:jc w:val="both"/>
        <w:rPr>
          <w:sz w:val="24"/>
        </w:rPr>
      </w:pPr>
      <w:r>
        <w:rPr>
          <w:sz w:val="24"/>
        </w:rPr>
        <w:t>10.</w:t>
        <w:tab/>
        <w:t>Global Companies LLC – Russell Diamond needs to rethink a change of control issue which I have summarized in the file before the draft can be sent out.</w:t>
      </w:r>
    </w:p>
    <w:p>
      <w:pPr>
        <w:pStyle w:val="Normal"/>
        <w:tabs>
          <w:tab w:val="left" w:pos="720" w:leader="none"/>
        </w:tabs>
        <w:spacing w:lineRule="atLeast" w:line="240"/>
        <w:ind w:start="360" w:end="0"/>
        <w:jc w:val="both"/>
        <w:rPr>
          <w:sz w:val="24"/>
        </w:rPr>
      </w:pPr>
      <w:r>
        <w:rPr>
          <w:sz w:val="24"/>
        </w:rPr>
      </w:r>
    </w:p>
    <w:p>
      <w:pPr>
        <w:pStyle w:val="Normal"/>
        <w:tabs>
          <w:tab w:val="left" w:pos="720" w:leader="none"/>
        </w:tabs>
        <w:spacing w:lineRule="atLeast" w:line="240"/>
        <w:ind w:start="360" w:end="0"/>
        <w:jc w:val="both"/>
        <w:rPr>
          <w:sz w:val="24"/>
        </w:rPr>
      </w:pPr>
      <w:r>
        <w:rPr>
          <w:sz w:val="24"/>
        </w:rPr>
        <w:t>11.</w:t>
        <w:tab/>
        <w:t>Reliant Energy Services, Inc. – they sent us their draft of ISDA which we have never commented on because credit needs to get back with us on various issues relating to our aggregate relationship with the Reliant entities.</w:t>
      </w:r>
    </w:p>
    <w:p>
      <w:pPr>
        <w:pStyle w:val="Normal"/>
        <w:tabs>
          <w:tab w:val="left" w:pos="720" w:leader="none"/>
        </w:tabs>
        <w:spacing w:lineRule="atLeast" w:line="240"/>
        <w:ind w:start="360" w:end="0"/>
        <w:jc w:val="both"/>
        <w:rPr>
          <w:sz w:val="24"/>
        </w:rPr>
      </w:pPr>
      <w:r>
        <w:rPr>
          <w:sz w:val="24"/>
        </w:rPr>
      </w:r>
    </w:p>
    <w:p>
      <w:pPr>
        <w:pStyle w:val="BodyTextIndent"/>
        <w:rPr>
          <w:rFonts w:ascii="Tms Rmn;Times New Roman" w:hAnsi="Tms Rmn;Times New Roman" w:cs="Tms Rmn;Times New Roman"/>
        </w:rPr>
      </w:pPr>
      <w:r>
        <w:rPr>
          <w:rFonts w:cs="Tms Rmn;Times New Roman" w:ascii="Tms Rmn;Times New Roman" w:hAnsi="Tms Rmn;Times New Roman"/>
        </w:rPr>
        <w:t>12.</w:t>
        <w:tab/>
        <w:t>Chautaugua Airlines Inc. – there are several outstanding confirms that each have Additional Amounts.  Brant needs to talk with the customer about treating such Additional Amounts in the aggregate for all trades instead of having to return each Additional Amount when the trade terminates.  As soon as he resolves that issue, the confirms can be finalized and an amendment can be drafted to the CSA which uses our new language for “Credit Support Amount.”</w:t>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Normal"/>
        <w:tabs>
          <w:tab w:val="left" w:pos="720" w:leader="none"/>
        </w:tabs>
        <w:spacing w:lineRule="atLeast" w:line="240"/>
        <w:jc w:val="both"/>
        <w:rPr>
          <w:sz w:val="24"/>
        </w:rPr>
      </w:pPr>
      <w:r>
        <w:rPr>
          <w:sz w:val="24"/>
        </w:rPr>
      </w:r>
    </w:p>
    <w:p>
      <w:pPr>
        <w:pStyle w:val="Heading3"/>
        <w:ind w:hanging="0" w:start="0"/>
        <w:rPr>
          <w:rFonts w:ascii="Tms Rmn;Times New Roman" w:hAnsi="Tms Rmn;Times New Roman" w:cs="Tms Rmn;Times New Roman"/>
        </w:rPr>
      </w:pPr>
      <w:r>
        <w:rPr>
          <w:rFonts w:cs="Tms Rmn;Times New Roman" w:ascii="Tms Rmn;Times New Roman" w:hAnsi="Tms Rmn;Times New Roman"/>
        </w:rPr>
        <w:t>D.</w:t>
        <w:tab/>
        <w:t>Miscellaneous</w:t>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BodyTextIndent"/>
        <w:rPr>
          <w:rFonts w:ascii="Tms Rmn;Times New Roman" w:hAnsi="Tms Rmn;Times New Roman" w:cs="Tms Rmn;Times New Roman"/>
        </w:rPr>
      </w:pPr>
      <w:r>
        <w:rPr>
          <w:rFonts w:cs="Tms Rmn;Times New Roman" w:ascii="Tms Rmn;Times New Roman" w:hAnsi="Tms Rmn;Times New Roman"/>
        </w:rPr>
        <w:t>1.</w:t>
        <w:tab/>
        <w:t>Forms Project – Mark and Sara need to sign off on new mark-up to CSA before it can be finalized.</w:t>
        <w:tab/>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Normal"/>
        <w:tabs>
          <w:tab w:val="left" w:pos="720" w:leader="none"/>
        </w:tabs>
        <w:spacing w:lineRule="atLeast" w:line="240"/>
        <w:jc w:val="both"/>
        <w:rPr>
          <w:sz w:val="24"/>
        </w:rPr>
      </w:pPr>
      <w:r>
        <w:rPr>
          <w:sz w:val="24"/>
        </w:rPr>
      </w:r>
    </w:p>
    <w:p>
      <w:pPr>
        <w:pStyle w:val="BodyTextIndent"/>
        <w:rPr>
          <w:rFonts w:ascii="Tms Rmn;Times New Roman" w:hAnsi="Tms Rmn;Times New Roman" w:cs="Tms Rmn;Times New Roman"/>
        </w:rPr>
      </w:pPr>
      <w:r>
        <w:rPr>
          <w:rFonts w:cs="Tms Rmn;Times New Roman" w:ascii="Tms Rmn;Times New Roman" w:hAnsi="Tms Rmn;Times New Roman"/>
        </w:rPr>
        <w:t>2.</w:t>
        <w:tab/>
        <w:t>Puget Sound – ENA entered into an Agreement with Puget Sound which we agreed to a special form of Annex A.  A week or so ago I e-mailed Steve Morus at Puget and told him that we needed a similar agreement for the Online GTC.  He has yet to respond.  Sara is familiar with this file and issue.</w:t>
        <w:tab/>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Normal"/>
        <w:tabs>
          <w:tab w:val="left" w:pos="720" w:leader="none"/>
        </w:tabs>
        <w:spacing w:lineRule="atLeast" w:line="240"/>
        <w:jc w:val="both"/>
        <w:rPr>
          <w:sz w:val="24"/>
        </w:rPr>
      </w:pPr>
      <w:r>
        <w:rPr>
          <w:sz w:val="24"/>
        </w:rPr>
      </w:r>
    </w:p>
    <w:p>
      <w:pPr>
        <w:pStyle w:val="BodyTextIndent"/>
        <w:rPr>
          <w:rFonts w:ascii="Tms Rmn;Times New Roman" w:hAnsi="Tms Rmn;Times New Roman" w:cs="Tms Rmn;Times New Roman"/>
        </w:rPr>
      </w:pPr>
      <w:r>
        <w:rPr>
          <w:rFonts w:cs="Tms Rmn;Times New Roman" w:ascii="Tms Rmn;Times New Roman" w:hAnsi="Tms Rmn;Times New Roman"/>
        </w:rPr>
        <w:t>3.</w:t>
        <w:tab/>
        <w:t xml:space="preserve">Kaiser Aluminum – a few months ago, Lisa Mellencamp and I were working on a call spread and power transaction with Kaiser.  It fell through but may be resurrected.  All of my papers are in the Kaiser file and the documents that I drafted are in my specproj/wilhelm  directory.  </w:t>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BodyTextIndent"/>
        <w:rPr>
          <w:rFonts w:ascii="Tms Rmn;Times New Roman" w:hAnsi="Tms Rmn;Times New Roman" w:cs="Tms Rmn;Times New Roman"/>
        </w:rPr>
      </w:pPr>
      <w:r>
        <w:rPr>
          <w:rFonts w:cs="Tms Rmn;Times New Roman" w:ascii="Tms Rmn;Times New Roman" w:hAnsi="Tms Rmn;Times New Roman"/>
        </w:rPr>
        <w:t>4.</w:t>
        <w:tab/>
        <w:t xml:space="preserve">Confirmations Project – I have been working with David Dupre off and on to try and resolve issues relating to unsigned confirmations.  For the past few weeks, David has been developing a chart that lists all of such counterparties and puts them into several categories based on # of unsigned confirms, our exposure to them, whether they have ever signed confirms, the term of their deals etc.  I have yet to see a draft of this chart.  Someone needs to be re-assigned to this matter.   </w:t>
      </w:r>
    </w:p>
    <w:p>
      <w:pPr>
        <w:pStyle w:val="Normal"/>
        <w:tabs>
          <w:tab w:val="left" w:pos="720" w:leader="none"/>
        </w:tabs>
        <w:spacing w:lineRule="atLeast" w:line="240"/>
        <w:jc w:val="both"/>
        <w:rPr>
          <w:rFonts w:ascii="Tms Rmn;Times New Roman" w:hAnsi="Tms Rmn;Times New Roman" w:cs="Tms Rmn;Times New Roman"/>
          <w:sz w:val="24"/>
        </w:rPr>
      </w:pPr>
      <w:r>
        <w:rPr>
          <w:rFonts w:cs="Tms Rmn;Times New Roman"/>
          <w:sz w:val="24"/>
        </w:rPr>
      </w:r>
    </w:p>
    <w:p>
      <w:pPr>
        <w:pStyle w:val="Normal"/>
        <w:tabs>
          <w:tab w:val="left" w:pos="720" w:leader="none"/>
        </w:tabs>
        <w:spacing w:lineRule="atLeast" w:line="240"/>
        <w:jc w:val="both"/>
        <w:rPr>
          <w:sz w:val="24"/>
        </w:rPr>
      </w:pPr>
      <w:r>
        <w:rPr>
          <w:sz w:val="24"/>
        </w:rPr>
      </w:r>
    </w:p>
    <w:p>
      <w:pPr>
        <w:pStyle w:val="BodyTextIndent"/>
        <w:tabs>
          <w:tab w:val="clear" w:pos="720"/>
        </w:tabs>
        <w:rPr/>
      </w:pPr>
      <w:r>
        <w:rPr/>
        <w:t>5.</w:t>
        <w:tab/>
        <w:t>Reliable Power Project – Leslie Hansen and I have been working with Bill Windle and Gaurav Babbar to develop this online insurance/derivative project.  We are close to finalizing the insurance policy with ACE.  Leslie has developed the product descriptions for the online piece.  She will handle any remaining issues once I leave.</w:t>
      </w:r>
    </w:p>
    <w:p>
      <w:pPr>
        <w:pStyle w:val="BodyTextIndent"/>
        <w:rPr/>
      </w:pPr>
      <w:r>
        <w:rPr/>
      </w:r>
    </w:p>
    <w:p>
      <w:pPr>
        <w:pStyle w:val="BodyTextIndent"/>
        <w:rPr/>
      </w:pPr>
      <w:r>
        <w:rPr/>
        <w:t>6.</w:t>
        <w:tab/>
        <w:t>Columbia Project – this has been handed over to Samantha.  She is working on what Susan Flynn could not finish.  Some oversight will be needed but I believe she has a good understanding of what needs to be done.  I also received from Susan Flynn a notice from Columbia notifying us that the ISDA Master between ENA and Columbia Energy Services Corporation was being assigned by Columbia to New Power Company effective July 31, 2000.  Susan had thought that this Master had been assigned by Columbia to us in connection with our purchase of Columbia’s wholesale assets.  Their attorney, Daniel Snyder, is checking into this and I have asked Brant Reves about this.  Someone should call Dan Snyder about this because it appears as if certain trades under the Master were assigned to us and certain ones weren’t so it would not be appropriate to consent to the assignment that they requested in their letter.</w:t>
      </w:r>
    </w:p>
    <w:p>
      <w:pPr>
        <w:pStyle w:val="BodyTextIndent"/>
        <w:rPr/>
      </w:pPr>
      <w:r>
        <w:rPr/>
      </w:r>
    </w:p>
    <w:p>
      <w:pPr>
        <w:pStyle w:val="BodyTextIndent"/>
        <w:rPr/>
      </w:pPr>
      <w:r>
        <w:rPr/>
        <w:t>7.</w:t>
        <w:tab/>
        <w:t>Weather Derivatives Reinsurance – I know very little about this project and I have forwarded the e-mail that I received from Seth Hurwitz last week to you and left you a voice mail message about it.  Seth would like to talk to someone about it.</w:t>
      </w:r>
    </w:p>
    <w:p>
      <w:pPr>
        <w:pStyle w:val="BodyTextIndent"/>
        <w:rPr/>
      </w:pPr>
      <w:r>
        <w:rPr/>
      </w:r>
    </w:p>
    <w:p>
      <w:pPr>
        <w:pStyle w:val="BodyTextIndent"/>
        <w:rPr/>
      </w:pPr>
      <w:r>
        <w:rPr/>
        <w:t>8.</w:t>
        <w:tab/>
        <w:t xml:space="preserve">MEGA Consent – We have been asked to execute a Consent to Assignment and an Amendment to Consent to Assignment in connection with Merchant Energy Group of the America’s assignment of certain trades with us to Morgan Stanley Capital Group, Inc.  Christopher Smith was handling this and I think Tracy Ngo is now handling this.  I have left her a voice mail.  The only comment I had was to the Amendment where they needed to insert a date for the effective date. </w:t>
      </w:r>
    </w:p>
    <w:p>
      <w:pPr>
        <w:pStyle w:val="BodyTextIndent"/>
        <w:rPr/>
      </w:pPr>
      <w:r>
        <w:rPr/>
      </w:r>
    </w:p>
    <w:p>
      <w:pPr>
        <w:pStyle w:val="BodyTextIndent"/>
        <w:rPr/>
      </w:pPr>
      <w:r>
        <w:rPr/>
        <w:t>9.</w:t>
        <w:tab/>
        <w:t>Barrett Resources – I am working with John Suttle and Bill Bradford on a Second Amendment to the Master Agreement that we have with Barrett Resources.  In connection with this amendment, we are also consenting to Barrett’s assignment of 2 trades that they have with us to Chase.  The Chase Assignment Agreement has been finalized and executed by us as has the second Amendment.  We need to see a fully executed Chase assignment before we release our signature page to the Second Amendment.  I asked John Suttle to follow up on this.</w:t>
      </w:r>
    </w:p>
    <w:p>
      <w:pPr>
        <w:pStyle w:val="BodyTextIndent"/>
        <w:rPr/>
      </w:pPr>
      <w:r>
        <w:rPr/>
      </w:r>
    </w:p>
    <w:p>
      <w:pPr>
        <w:pStyle w:val="BodyTextIndent"/>
        <w:rPr/>
      </w:pPr>
      <w:r>
        <w:rPr/>
      </w:r>
    </w:p>
    <w:p>
      <w:pPr>
        <w:pStyle w:val="BodyTextIndent"/>
        <w:rPr/>
      </w:pPr>
      <w:r>
        <w:rPr/>
        <w:tab/>
        <w:t>All of the above files are in the file holders on top of my file cabinets.</w:t>
      </w:r>
    </w:p>
    <w:sectPr>
      <w:type w:val="nextPage"/>
      <w:pgSz w:w="12240" w:h="15840"/>
      <w:pgMar w:left="144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
    <w:qFormat/>
    <w:pPr>
      <w:keepNext w:val="true"/>
      <w:numPr>
        <w:ilvl w:val="2"/>
        <w:numId w:val="1"/>
      </w:numPr>
      <w:tabs>
        <w:tab w:val="left" w:pos="720" w:leader="none"/>
      </w:tabs>
      <w:spacing w:lineRule="atLeast" w:line="240"/>
      <w:jc w:val="both"/>
      <w:outlineLvl w:val="2"/>
    </w:pPr>
    <w:rPr>
      <w:rFonts w:ascii="Times New Roman" w:hAnsi="Times New Roman" w:cs="Times New Roman"/>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344" w:leader="none"/>
        <w:tab w:val="left" w:pos="5106" w:leader="none"/>
        <w:tab w:val="left" w:pos="7254" w:leader="none"/>
      </w:tabs>
      <w:jc w:val="both"/>
    </w:pPr>
    <w:rPr>
      <w:rFonts w:ascii="Times New Roman" w:hAnsi="Times New Roman" w:cs="Times New Roman"/>
      <w:sz w:val="24"/>
    </w:rPr>
  </w:style>
  <w:style w:type="paragraph" w:styleId="BodyText3">
    <w:name w:val="Body Text 3"/>
    <w:basedOn w:val="Normal"/>
    <w:qFormat/>
    <w:pPr>
      <w:tabs>
        <w:tab w:val="left" w:pos="720" w:leader="none"/>
      </w:tabs>
      <w:spacing w:lineRule="atLeast" w:line="240"/>
      <w:jc w:val="both"/>
    </w:pPr>
    <w:rPr/>
  </w:style>
  <w:style w:type="paragraph" w:styleId="BodyTextIndent">
    <w:name w:val="Body Text Indent"/>
    <w:basedOn w:val="Normal"/>
    <w:pPr>
      <w:tabs>
        <w:tab w:val="left" w:pos="720" w:leader="none"/>
      </w:tabs>
      <w:spacing w:lineRule="atLeast" w:line="240"/>
      <w:ind w:hanging="0" w:start="36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2000-07-10T14:36:00Z</dcterms:created>
  <dc:creator>Deborah Korkmas</dc:creator>
  <dc:description/>
  <dc:language>en-CA</dc:language>
  <cp:lastModifiedBy>cstclai</cp:lastModifiedBy>
  <cp:lastPrinted>2000-07-10T18:25:00Z</cp:lastPrinted>
  <dcterms:modified xsi:type="dcterms:W3CDTF">2000-07-19T15:36:00Z</dcterms:modified>
  <cp:revision>7</cp:revision>
  <dc:subject/>
  <dc:title>Form of Memo</dc:title>
</cp:coreProperties>
</file>